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spacing w:after="200"/>
        <w:jc w:val="center"/>
      </w:pPr>
      <w:r>
        <w:drawing>
          <wp:inline distT="0" distB="0" distL="0" distR="0">
            <wp:extent cx="2381250" cy="600075"/>
            <wp:effectExtent t="0" r="0" b="0" l="0"/>
            <wp:docPr id="1" name="logo" descr="Technijian Inc." title="Technijian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pBdr>
          <w:bottom w:val="single" w:color="F67D4B" w:sz="2"/>
        </w:pBdr>
        <w:spacing w:after="100" w:before="100"/>
      </w:pPr>
    </w:p>
    <w:p>
      <w:pPr>
        <w:spacing w:after="200" w:before="400"/>
        <w:jc w:val="center"/>
      </w:pPr>
      <w:r>
        <w:rPr>
          <w:rFonts w:ascii="Open Sans" w:cs="Open Sans" w:eastAsia="Open Sans" w:hAnsi="Open Sans"/>
          <w:b/>
          <w:bCs/>
          <w:color w:val="1A1A2E"/>
          <w:sz w:val="48"/>
          <w:szCs w:val="48"/>
        </w:rPr>
        <w:t xml:space="preserve">Schedule B</w:t>
      </w:r>
    </w:p>
    <w:p>
      <w:pPr>
        <w:spacing w:after="400"/>
        <w:jc w:val="center"/>
      </w:pPr>
      <w:r>
        <w:rPr>
          <w:rFonts w:ascii="Open Sans" w:cs="Open Sans" w:eastAsia="Open Sans" w:hAnsi="Open Sans"/>
          <w:color w:val="59595B"/>
          <w:sz w:val="24"/>
          <w:szCs w:val="24"/>
        </w:rPr>
        <w:t xml:space="preserve">Subscription and License Services</w:t>
      </w:r>
    </w:p>
    <w:p>
      <w:pPr>
        <w:pBdr>
          <w:bottom w:val="single" w:color="F67D4B" w:sz="2"/>
        </w:pBdr>
        <w:spacing w:after="100" w:before="100"/>
      </w:pPr>
    </w:p>
    <w:p>
      <w:pPr>
        <w:spacing w:after="120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jc w:val="center"/>
      </w:pPr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Technijian, Inc.</w:t>
      </w:r>
    </w:p>
    <w:p>
      <w:pPr>
        <w:jc w:val="center"/>
      </w:pPr>
      <w:r>
        <w:rPr>
          <w:rFonts w:ascii="Open Sans" w:cs="Open Sans" w:eastAsia="Open Sans" w:hAnsi="Open Sans"/>
          <w:color w:val="59595B"/>
          <w:sz w:val="20"/>
          <w:szCs w:val="20"/>
        </w:rPr>
        <w:t xml:space="preserve">18 Technology Dr., Ste 141  |  Irvine, CA 92618  |  949.379.8499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SCHEDULE B -- SUBSCRIPTION AND LICENSE SERVICES</w:t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Attached to Master Service Agreement </w:t>
      </w: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[MSA-XXXX]</w:t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Effective Date: </w:t>
      </w: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[DATE]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This Schedule describes the Subscription and License Services provided by Technijian, Inc. ("Technijian") to [CLIENT NAME] ("Client") under the Master Service Agreement.</w:t>
      </w:r>
    </w:p>
    <w:p>
      <w:pPr>
        <w:pBdr>
          <w:bottom w:val="single" w:color="006DB6" w:sz="3"/>
        </w:pBdr>
        <w:spacing w:after="200" w:before="200"/>
      </w:pPr>
    </w:p>
    <w:p>
      <w:pPr>
        <w:pStyle w:val="Heading2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1. DESCRIPTION</w:t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Technijian procures, manages, and maintains third-party software subscriptions, licenses, SSL certificates, domain registrations, and related services on Client's behalf ("Subscription Services"). These services are separate from the Monthly Managed Services described in Schedule A.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pStyle w:val="Heading2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2. SERVICE CATEGORIES</w:t>
      </w:r>
    </w:p>
    <w:p>
      <w:pPr>
        <w:pStyle w:val="Heading3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2.1 Software Subscriptions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Examples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Productivity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Microsoft 365 Business Basic, Business Standard, E3/E5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Security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Microsoft Entra ID, Defender, Intune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Analytics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Power BI Pro, Power BI Premium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Collaboration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Microsoft Visio, Project, Copilot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Database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Microsoft SQL Server licenses (SAL, CAL)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Server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Microsoft Server Standard, RDP/User CALs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Specialty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FoxIT PDF, Adobe Creative Cloud, other LOB applications</w:t>
            </w:r>
          </w:p>
        </w:tc>
      </w:tr>
    </w:tbl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pStyle w:val="Heading3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2.2 SSL Certificates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Standard SSL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Single-domain SSL certificate (1-year term)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UCC / Multi-Domain SSL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Unified Communications Certificate covering multiple domains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Wildcard SSL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SSL certificate covering all subdomains of a domain</w:t>
            </w:r>
          </w:p>
        </w:tc>
      </w:tr>
    </w:tbl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pStyle w:val="Heading3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2.3 Domain Registrations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Domain Registration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New domain registration or annual renewal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DNS Management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DNS hosting and record management</w:t>
            </w:r>
          </w:p>
        </w:tc>
      </w:tr>
    </w:tbl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pStyle w:val="Heading2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3. PROCUREMENT AND MANAGEMENT</w:t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3.01. Procurement. </w:t>
      </w: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Technijian shall procure Subscription Services from authorized vendors and resellers on Client's behalf. Client authorizes Technijian to act as its agent for purposes of procuring and managing these subscriptions.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3.02. License Management. </w:t>
      </w: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Technijian shall:</w:t>
      </w:r>
    </w:p>
    <w:p>
      <w:pPr>
        <w:ind w:left="36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(a) Maintain an inventory of all active subscriptions and licenses;</w:t>
      </w:r>
    </w:p>
    <w:p>
      <w:pPr>
        <w:ind w:left="36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(b) Monitor subscription terms, renewal dates, and expiration dates;</w:t>
      </w:r>
    </w:p>
    <w:p>
      <w:pPr>
        <w:ind w:left="36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(c) Notify Client at least thirty (30) days prior to any annual renewal; and</w:t>
      </w:r>
    </w:p>
    <w:p>
      <w:pPr>
        <w:ind w:left="36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(d) Process additions, removals, and changes to subscriptions upon Client's written request.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3.03. Vendor Terms. </w:t>
      </w: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Subscription Services are subject to the applicable vendor's terms and conditions (e.g., Microsoft Product Terms). Client acknowledges that Technijian is a reseller and that certain terms are passed through from the vendor. Technijian shall make applicable vendor terms available to Client upon request.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pStyle w:val="Heading2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4. PRICING</w:t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4.01. Subscription Fees. </w:t>
      </w: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Client shall pay the fees for Subscription Services as set forth in the Subscription Order attached to this Schedule. Fees include Technijian's management and procurement services.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4.02. Billing Frequency. </w:t>
      </w: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Subscriptions are billed as follows: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Billing Frequency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6D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Applicable To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Monthly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Software subscriptions billed on a per-user, per-month basis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Annually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SSL certificates, domain registrations, and annual licenses</w:t>
            </w:r>
          </w:p>
        </w:tc>
      </w:tr>
    </w:tbl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4.03. Pass-Through Costs. </w:t>
      </w: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If a vendor increases its pricing, Technijian may adjust the corresponding Subscription Service fee upon thirty (30) days written notice to Client.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pStyle w:val="Heading2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5. CHANGES TO SUBSCRIPTIONS</w:t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5.01. Additions. </w:t>
      </w: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Client may request additional licenses or subscriptions at any time. New subscriptions shall be added at the then-current pricing and prorated for the remaining billing period.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5.02. Removals. </w:t>
      </w: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Client may request removal of subscriptions upon thirty (30) days written notice. Client acknowledges that:</w:t>
      </w:r>
    </w:p>
    <w:p>
      <w:pPr>
        <w:ind w:left="36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(a) Some subscriptions have minimum commitment terms imposed by the vendor;</w:t>
      </w:r>
    </w:p>
    <w:p>
      <w:pPr>
        <w:ind w:left="36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(b) Removal of subscriptions mid-term may not result in a refund if the vendor does not provide one; and</w:t>
      </w:r>
    </w:p>
    <w:p>
      <w:pPr>
        <w:ind w:left="36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(c) Client is responsible for fees through the end of the applicable subscription term.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5.03. Annual Renewals. </w:t>
      </w: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Unless Client provides written notice of non-renewal at least thirty (30) days prior to the renewal date, annual subscriptions shall automatically renew for successive one-year terms.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pStyle w:val="Heading2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6. DATA AND ACCESS</w:t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6.01. Account Ownership. </w:t>
      </w: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Client retains ownership of all accounts and data associated with Subscription Services. Upon termination, Technijian shall transfer administrative access to Client or Client's designated representative within thirty (30) days.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6.02. Credentials. </w:t>
      </w: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Client is responsible for maintaining the security of login credentials associated with Subscription Services.</w:t>
      </w:r>
    </w:p>
    <w:p>
      <w:pPr>
        <w:pBdr>
          <w:bottom w:val="single" w:color="006DB6" w:sz="3"/>
        </w:pBdr>
        <w:spacing w:after="200" w:before="200"/>
      </w:pPr>
    </w:p>
    <w:p>
      <w:pPr>
        <w:pStyle w:val="Heading2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SIGNATURES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TECHNIJIAN, INC.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By: ___________________________________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Name: _________________________________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Title: _________________________________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Date: _________________________________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b/>
          <w:bCs/>
          <w:color w:val="1A1A2E"/>
          <w:sz w:val="22"/>
          <w:szCs w:val="22"/>
        </w:rPr>
        <w:t xml:space="preserve">[CLIENT NAME]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By: ___________________________________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Name: _________________________________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Title: _________________________________</w:t>
      </w:r>
    </w:p>
    <w:p>
      <w:pPr>
        <w:spacing w:after="12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/>
      </w:r>
    </w:p>
    <w:p>
      <w:r>
        <w:rPr>
          <w:rFonts w:ascii="Open Sans" w:cs="Open Sans" w:eastAsia="Open Sans" w:hAnsi="Open Sans"/>
          <w:color w:val="59595B"/>
          <w:sz w:val="22"/>
          <w:szCs w:val="22"/>
        </w:rPr>
        <w:t xml:space="preserve">Date: _________________________________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59595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Open Sans" w:cs="Open Sans" w:eastAsia="Open Sans" w:hAnsi="Open Sans"/>
      <w:b/>
      <w:bCs/>
      <w:color w:val="006DB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Open Sans" w:cs="Open Sans" w:eastAsia="Open Sans" w:hAnsi="Open Sans"/>
      <w:b/>
      <w:bCs/>
      <w:color w:val="1A1A2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Open Sans" w:cs="Open Sans" w:eastAsia="Open Sans" w:hAnsi="Open Sans"/>
      <w:b/>
      <w:bCs/>
      <w:color w:val="1A1A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37ab963d63198c507d4d2f60f27ab9adb7b80fb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2026-04-06T17:23:14.383Z</dcterms:created>
  <dcterms:modified xsi:type="dcterms:W3CDTF">2026-04-06T17:23:14.383Z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