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Email to Ed Susolik — BST Termination Reconciliation Package</w:t>
      </w:r>
    </w:p>
    <w:p>
      <w:r>
        <w:rPr>
          <w:b/>
        </w:rPr>
        <w:t>Subject:</w:t>
      </w:r>
      <w:r>
        <w:t xml:space="preserve"> BST (Boston Group) — Termination Reconciliation Package — Counsel Engaged</w:t>
      </w:r>
    </w:p>
    <w:p>
      <w:pPr>
        <w:spacing w:before="80" w:after="80"/>
      </w:pPr>
      <w:r>
        <w:rPr>
          <w:color w:val="808080"/>
        </w:rPr>
        <w:t>______________________________________________________________________</w:t>
      </w:r>
    </w:p>
    <w:p>
      <w:r>
        <w:t>Ed,</w:t>
      </w:r>
    </w:p>
    <w:p>
      <w:r>
        <w:t>Following our March 19 call about the ex-employee pattern and the two clients moving to Tech Heights, I am sending the full BST file now that we've hit the April 30 termination date and Jeff Klein's counsel is in the loop (his March 23 email said "our attorney is reviewing the contract"; no firm or name identified yet — we may hear from them directly, or we can request identification).</w:t>
      </w:r>
    </w:p>
    <w:p>
      <w:r>
        <w:t xml:space="preserve">This is the parallel matter to Vintage Design. Same signed MSA template (DocuSign Envelope </w:t>
      </w:r>
      <w:r>
        <w:rPr>
          <w:b/>
        </w:rPr>
        <w:t>FC626837-AEED-442F-9961-A81502402FC4</w:t>
      </w:r>
      <w:r>
        <w:t>), same $150/hr Under Contract cancellation language, same weekly ticket-invoice dispute-window mechanic, same account-stated posture. But the damages picture is materially different — see memo § 3-4.</w:t>
      </w:r>
    </w:p>
    <w:p>
      <w:pPr>
        <w:pStyle w:val="Heading1"/>
      </w:pPr>
      <w:r>
        <w:t>Status</w:t>
      </w:r>
    </w:p>
    <w:p>
      <w:pPr>
        <w:pStyle w:val="ListBullet"/>
      </w:pPr>
      <w:r>
        <w:t>Termination notice received 2026-03-17; effective date 2026-04-30.</w:t>
      </w:r>
    </w:p>
    <w:p>
      <w:pPr>
        <w:pStyle w:val="ListBullet"/>
      </w:pPr>
      <w:r>
        <w:t>My 3/19 and 3/23 emails to Jeff established Technijian's contract-basis figure ($126,442.50) and placed a settlement concession on the table ($15,045 life-of-contract net), open through COB 4/30.</w:t>
      </w:r>
    </w:p>
    <w:p>
      <w:pPr>
        <w:pStyle w:val="ListBullet"/>
      </w:pPr>
      <w:r>
        <w:t>Jeff's 3/23 response: counsel engaged.</w:t>
      </w:r>
    </w:p>
    <w:p>
      <w:pPr>
        <w:pStyle w:val="ListBullet"/>
      </w:pPr>
      <w:r>
        <w:t>Jeff's 4/1 email confirms BST has directed Tech Heights (Rich Leggett) to proceed without our cooperation. Between 3/31 and 4/1, the BST ESXi host password was changed without authorization and the AD server (BST-HQ-AD-01) went offline while Tech Heights was working in the environment. Technijian support reported this in writing on 4/1.</w:t>
      </w:r>
    </w:p>
    <w:p>
      <w:pPr>
        <w:pStyle w:val="Heading1"/>
      </w:pPr>
      <w:r>
        <w:t xml:space="preserve">What's in the package (all in </w:t>
      </w:r>
      <w:r>
        <w:rPr>
          <w:rFonts w:ascii="Consolas" w:hAnsi="Consolas"/>
          <w:sz w:val="20"/>
        </w:rPr>
        <w:t>c:\vscode\tech-legal\tech-legal\terminated-clients\BST\</w:t>
      </w:r>
      <w:r>
        <w:t>)</w:t>
      </w:r>
    </w:p>
    <w:p>
      <w:r>
        <w:rPr>
          <w:b/>
        </w:rPr>
        <w:t>Privileged / work product — do not disclose to BST or BST counsel:</w:t>
      </w:r>
    </w:p>
    <w:p>
      <w:pPr>
        <w:pStyle w:val="ListNumber"/>
      </w:pPr>
      <w:r>
        <w:rPr>
          <w:rFonts w:ascii="Consolas" w:hAnsi="Consolas"/>
          <w:sz w:val="20"/>
        </w:rPr>
        <w:t>BST_DAMAGES_ANALYSIS.md</w:t>
      </w:r>
      <w:r>
        <w:t xml:space="preserve"> — five damages methodologies, range $0 to $139,743, with reconciliation of my 3/19 number (842.95 hrs / $126,442.50) to my recalc (931.62 hrs / $139,743). This has the strategic/risk analysis, including the Cycle-3-zero-overage weakness we need to confront.</w:t>
      </w:r>
    </w:p>
    <w:p>
      <w:r>
        <w:rPr>
          <w:b/>
        </w:rPr>
        <w:t>For eventual transmission to BST counsel:</w:t>
      </w:r>
    </w:p>
    <w:p>
      <w:pPr>
        <w:pStyle w:val="ListNumber"/>
      </w:pPr>
      <w:r>
        <w:rPr>
          <w:rFonts w:ascii="Consolas" w:hAnsi="Consolas"/>
          <w:sz w:val="20"/>
        </w:rPr>
        <w:t>BST_SETTLEMENT_POSITION_MEMORANDUM.md</w:t>
      </w:r>
      <w:r>
        <w:t xml:space="preserve"> — settlement-communication letter, ready to go out under your name when we identify counsel. Restates the $126,442.50 contract position and the $15,045 concession standing through 4/30. Reserves third-party tort rights.</w:t>
      </w:r>
    </w:p>
    <w:p>
      <w:r>
        <w:rPr>
          <w:b/>
        </w:rPr>
        <w:t>Supporting authority:</w:t>
      </w:r>
    </w:p>
    <w:p>
      <w:pPr>
        <w:pStyle w:val="ListNumber"/>
      </w:pPr>
      <w:r>
        <w:rPr>
          <w:rFonts w:ascii="Consolas" w:hAnsi="Consolas"/>
          <w:sz w:val="20"/>
        </w:rPr>
        <w:t>BST_CASE_LAW_RESEARCH_MEMORANDUM.md</w:t>
      </w:r>
      <w:r>
        <w:t xml:space="preserve"> — 25 issues of California authority. Adapted from the Vintage Design memo for overlapping issues (§ 1671(b), account stated, course of dealing, § 1717 fees, prejudgment interest, UETA / DocuSign). Adds new sections on tortious interference with contract (Tech Heights / Leggett), CFAA and CDAFA (ESXi password change), trade secrets, and § 16600 analysis of the anti-hire clause.</w:t>
      </w:r>
    </w:p>
    <w:p>
      <w:r>
        <w:rPr>
          <w:b/>
        </w:rPr>
        <w:t>Primary exhibits (already in the folder):</w:t>
      </w:r>
    </w:p>
    <w:p>
      <w:pPr>
        <w:pStyle w:val="ListNumber"/>
      </w:pPr>
      <w:r>
        <w:rPr>
          <w:rFonts w:ascii="Consolas" w:hAnsi="Consolas"/>
          <w:sz w:val="20"/>
        </w:rPr>
        <w:t>Boston_Group-Monthly_Service-signed (2).pdf</w:t>
      </w:r>
      <w:r>
        <w:t xml:space="preserve"> — signed MSA</w:t>
      </w:r>
    </w:p>
    <w:p>
      <w:pPr>
        <w:pStyle w:val="ListNumber"/>
      </w:pPr>
      <w:r>
        <w:rPr>
          <w:rFonts w:ascii="Consolas" w:hAnsi="Consolas"/>
          <w:sz w:val="20"/>
        </w:rPr>
        <w:t>bst_actualvsbillable (1).xlsx</w:t>
      </w:r>
      <w:r>
        <w:t xml:space="preserve"> — source hours data</w:t>
      </w:r>
    </w:p>
    <w:p>
      <w:pPr>
        <w:pStyle w:val="ListNumber"/>
      </w:pPr>
      <w:r>
        <w:rPr>
          <w:rFonts w:ascii="Consolas" w:hAnsi="Consolas"/>
          <w:sz w:val="20"/>
        </w:rPr>
        <w:t>attachments/</w:t>
      </w:r>
      <w:r>
        <w:t xml:space="preserve"> — service cancellation invoice #28064; monthly invoices #27890, 27949, 28112, 28143; original Jeff Klein termination letter scan</w:t>
      </w:r>
    </w:p>
    <w:p>
      <w:pPr>
        <w:pStyle w:val="ListNumber"/>
      </w:pPr>
      <w:r>
        <w:rPr>
          <w:rFonts w:ascii="Consolas" w:hAnsi="Consolas"/>
          <w:sz w:val="20"/>
        </w:rPr>
        <w:t>emails/</w:t>
      </w:r>
      <w:r>
        <w:t xml:space="preserve"> — full 109-message thread; sorted index in </w:t>
      </w:r>
      <w:r>
        <w:rPr>
          <w:rFonts w:ascii="Consolas" w:hAnsi="Consolas"/>
          <w:sz w:val="20"/>
        </w:rPr>
        <w:t>emails_index.csv</w:t>
      </w:r>
    </w:p>
    <w:p>
      <w:pPr>
        <w:pStyle w:val="Heading1"/>
      </w:pPr>
      <w:r>
        <w:t>Key strategic questions I need your judgment on</w:t>
      </w:r>
    </w:p>
    <w:p>
      <w:pPr>
        <w:pStyle w:val="ListNumber"/>
      </w:pPr>
      <w:r>
        <w:rPr>
          <w:b/>
        </w:rPr>
        <w:t>Number reconciliation before any formal demand.</w:t>
      </w:r>
      <w:r>
        <w:t xml:space="preserve"> My 3/19 email to Jeff stated 842.95 hrs → $126,442.50. My fresh recalc from the spreadsheet yields 931.62 hrs → $139,743.00. Unreconciled delta of 88.67 hrs. Before we send any formal demand letter, I want us anchored to a single defensible number. I suggest we go with the invoiced figure ($126,442.50) to avoid a consistency issue, but I want your call.</w:t>
      </w:r>
    </w:p>
    <w:p>
      <w:pPr>
        <w:pStyle w:val="ListNumber"/>
      </w:pPr>
      <w:r>
        <w:rPr>
          <w:b/>
        </w:rPr>
        <w:t>The $15,045 concession and the 4/30 deadline.</w:t>
      </w:r>
      <w:r>
        <w:t xml:space="preserve"> Options: (a) let it expire per its own terms at COB 4/30 and revert to the $126,442.50 invoice; (b) hold it open for a short extension if BST counsel contacts us in good faith; (c) withdraw it and move to formal demand. My inclination is (b) if counsel surfaces by 4/30 and engages substantively, otherwise (a).</w:t>
      </w:r>
    </w:p>
    <w:p>
      <w:pPr>
        <w:pStyle w:val="ListNumber"/>
      </w:pPr>
      <w:r>
        <w:rPr>
          <w:b/>
        </w:rPr>
        <w:t>Tech Heights / Leggett — separate track or bundled.</w:t>
      </w:r>
      <w:r>
        <w:t xml:space="preserve"> The tortious interference, CFAA / CDAFA, and trade-secret exposure against Tech Heights and Leggett personally is real but is a separate posture from the BST settlement. Options: (i) preserve only — do not assert yet, rely on the reservation-of-rights language in any settlement with BST; (ii) send a parallel demand to Tech Heights / Leggett now with a specific deadline; (iii) bundle into one demand if BST coordinates the transition with Tech Heights in writing. My inclination is (i) — preserve and reserve — but I defer to you on whether serving (ii) now creates useful pressure on the BST settlement too.</w:t>
      </w:r>
    </w:p>
    <w:p>
      <w:pPr>
        <w:pStyle w:val="ListNumber"/>
      </w:pPr>
      <w:r>
        <w:rPr>
          <w:b/>
        </w:rPr>
        <w:t>The Cycle-3 weakness.</w:t>
      </w:r>
      <w:r>
        <w:t xml:space="preserve"> Under the strictest reading of the Under Contract clause ("hours that exceeded the previous under contract period average"), the termination-cycle-only overage is $0 because actual consumption ran under baseline every single month in Cycle 3. My position (Method A) is that the clause says "any hours that exceeded" — not "any hours in the termination cycle that exceeded" — and life-of-contract overage is the right read. But BST counsel will push Method D. Settlement Memo § 4 frames our response; worth your critique before we lock it in.</w:t>
      </w:r>
    </w:p>
    <w:p>
      <w:pPr>
        <w:pStyle w:val="ListNumber"/>
      </w:pPr>
      <w:r>
        <w:rPr>
          <w:b/>
        </w:rPr>
        <w:t>BST's counsel identification.</w:t>
      </w:r>
      <w:r>
        <w:t xml:space="preserve"> Jeff has not named the attorney or firm. I plan to send a short follow-up asking for it (either from me in a day-to-day capacity, or from you on letterhead — your call).</w:t>
      </w:r>
    </w:p>
    <w:p>
      <w:pPr>
        <w:pStyle w:val="Heading1"/>
      </w:pPr>
      <w:r>
        <w:t>Timeline</w:t>
      </w:r>
    </w:p>
    <w:p>
      <w:pPr>
        <w:pStyle w:val="ListBullet"/>
      </w:pPr>
      <w:r>
        <w:rPr>
          <w:b/>
        </w:rPr>
        <w:t>4/30/2026 (next 2 weeks):</w:t>
      </w:r>
      <w:r>
        <w:t xml:space="preserve"> Settlement offer expires by its terms. Transition complete.</w:t>
      </w:r>
    </w:p>
    <w:p>
      <w:pPr>
        <w:pStyle w:val="ListBullet"/>
      </w:pPr>
      <w:r>
        <w:rPr>
          <w:b/>
        </w:rPr>
        <w:t>Before 4/30:</w:t>
      </w:r>
      <w:r>
        <w:t xml:space="preserve"> Open for counsel to engage. If no contact, revert to $126,442.50 invoice.</w:t>
      </w:r>
    </w:p>
    <w:p>
      <w:pPr>
        <w:pStyle w:val="ListBullet"/>
      </w:pPr>
      <w:r>
        <w:rPr>
          <w:b/>
        </w:rPr>
        <w:t>5/1 onward:</w:t>
      </w:r>
      <w:r>
        <w:t xml:space="preserve"> Evaluate formal demand, separate Tech Heights action, or referral to AAA under § 6.10 if MSA has same clause as VTD (to confirm).</w:t>
      </w:r>
    </w:p>
    <w:p>
      <w:r>
        <w:t>Any update on Vintage Design? The 4/9 email was from me following up with you on that one — both matters are linked by the Leggett pattern and we should think about strategic sequencing.</w:t>
      </w:r>
    </w:p>
    <w:p>
      <w:r>
        <w:t>Thanks, Ed. Happy to get on a call this week.</w:t>
      </w:r>
    </w:p>
    <w:p>
      <w:r>
        <w:t>Ravi Jain</w:t>
      </w:r>
    </w:p>
    <w:p>
      <w:r>
        <w:t>CEO, Technijian, Inc.</w:t>
      </w:r>
    </w:p>
    <w:p>
      <w:r>
        <w:t>T: 949.379.8499 x201 | C: 714.402.3164</w:t>
      </w:r>
    </w:p>
    <w:p>
      <w:r>
        <w:t>rjain@technijian.com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