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Technijian, Inc.</w:t>
      </w:r>
    </w:p>
    <w:p>
      <w:pPr>
        <w:jc w:val="center"/>
      </w:pPr>
      <w:r>
        <w:rPr>
          <w:i/>
          <w:color w:val="5B7A99"/>
          <w:sz w:val="20"/>
        </w:rPr>
        <w:t>Technology as a Solution</w:t>
      </w:r>
    </w:p>
    <w:p>
      <w:pPr>
        <w:jc w:val="center"/>
      </w:pPr>
      <w:r>
        <w:rPr>
          <w:sz w:val="18"/>
        </w:rPr>
        <w:t>18 Technology Drive, Suite 141, Irvine, CA 92618  |  (949) 379-8499  |  www.technijian.com</w:t>
      </w:r>
    </w:p>
    <w:p>
      <w:pPr>
        <w:pBdr>
          <w:bottom w:val="single" w:sz="8" w:color="1F4E79"/>
        </w:pBdr>
      </w:pPr>
    </w:p>
    <w:p/>
    <w:p>
      <w:pPr>
        <w:spacing w:before="240" w:after="120"/>
        <w:jc w:val="center"/>
      </w:pPr>
      <w:r>
        <w:rPr>
          <w:b/>
          <w:color w:val="1F4E79"/>
          <w:sz w:val="28"/>
        </w:rPr>
        <w:t>DAMAGES SCENARIO ANALYSIS — INTERNAL / PRIVILEGED</w:t>
      </w:r>
    </w:p>
    <w:p>
      <w:pPr>
        <w:spacing w:before="120" w:after="120"/>
        <w:jc w:val="center"/>
      </w:pPr>
      <w:r>
        <w:rPr>
          <w:b/>
          <w:i/>
          <w:color w:val="B22222"/>
          <w:sz w:val="20"/>
        </w:rPr>
        <w:t>ATTORNEY-CLIENT PRIVILEGED / ATTORNEY WORK PRODUCT — PREPARED IN ANTICIPATION OF LITIGATION. Not for disclosure to opposing counsel.</w:t>
      </w:r>
    </w:p>
    <w:p>
      <w:pPr>
        <w:pBdr>
          <w:bottom w:val="single" w:sz="4" w:color="888888"/>
        </w:pBdr>
      </w:pPr>
    </w:p>
    <w:p>
      <w:pPr>
        <w:spacing w:after="40"/>
      </w:pPr>
      <w:r>
        <w:rPr>
          <w:b/>
        </w:rPr>
        <w:t xml:space="preserve">To: </w:t>
      </w:r>
      <w:r>
        <w:t>Edward Susolik, Esq. — Callahan &amp; Blaine, PC</w:t>
      </w:r>
    </w:p>
    <w:p>
      <w:pPr>
        <w:spacing w:after="40"/>
      </w:pPr>
      <w:r>
        <w:rPr>
          <w:b/>
        </w:rPr>
        <w:t xml:space="preserve">From: </w:t>
      </w:r>
      <w:r>
        <w:t>Ravi Jain, CEO, Technijian, Inc.</w:t>
      </w:r>
    </w:p>
    <w:p>
      <w:pPr>
        <w:spacing w:after="40"/>
      </w:pPr>
      <w:r>
        <w:rPr>
          <w:b/>
        </w:rPr>
        <w:t xml:space="preserve">Re: </w:t>
      </w:r>
      <w:r>
        <w:t>Technijian, Inc. v. Vintage Design, LLC — AAA Arbitration — Damages Modeling Under Signed 5/4/2023 Agreement</w:t>
      </w:r>
    </w:p>
    <w:p>
      <w:pPr>
        <w:spacing w:after="40"/>
      </w:pPr>
      <w:r>
        <w:rPr>
          <w:b/>
        </w:rPr>
        <w:t xml:space="preserve">Date: </w:t>
      </w:r>
      <w:r>
        <w:t>April 14, 2026</w:t>
      </w:r>
    </w:p>
    <w:p/>
    <w:p>
      <w:pPr>
        <w:spacing w:before="240" w:after="120"/>
      </w:pPr>
      <w:r>
        <w:rPr>
          <w:b/>
          <w:color w:val="1F4E79"/>
          <w:sz w:val="24"/>
        </w:rPr>
        <w:t>PURPOSE</w:t>
      </w:r>
    </w:p>
    <w:p>
      <w:pPr>
        <w:jc w:val="both"/>
      </w:pPr>
      <w:r>
        <w:rPr>
          <w:b w:val="0"/>
          <w:i w:val="0"/>
        </w:rPr>
        <w:t>This memorandum documents the six alternative damages computations available under the signed Client Monthly Service Agreement between Technijian, Inc. and Vintage Design, executed via DocuSign on May 4, 2023 (Envelope ID B679C550-E41C-4E31-BE34-7F8FFF437C3D). It confirms the Demand's stated damages figure ($240,555.15), identifies the three lower-value readings Respondent's counsel is expected to push, and sets out the controlling legal authorities that render each of those readings implausible. The Settlement Position Memorandum anchors at $240,555.15 (consistent with the Demand); this memorandum preserves the range for internal strategy and identifies the walk-away floor at $125,000.</w:t>
      </w:r>
    </w:p>
    <w:p>
      <w:pPr>
        <w:spacing w:before="240" w:after="120"/>
      </w:pPr>
      <w:r>
        <w:rPr>
          <w:b/>
          <w:color w:val="1F4E79"/>
          <w:sz w:val="24"/>
        </w:rPr>
        <w:t>UNDERLYING DATA (through 7/31/2025)</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3744"/>
          </w:tcPr>
          <w:p>
            <w:r>
              <w:rPr>
                <w:b/>
                <w:sz w:val="20"/>
              </w:rPr>
              <w:t>Contracted Category</w:t>
            </w:r>
          </w:p>
        </w:tc>
        <w:tc>
          <w:tcPr>
            <w:tcW w:type="dxa" w:w="1296"/>
          </w:tcPr>
          <w:p>
            <w:r>
              <w:rPr>
                <w:b/>
                <w:sz w:val="20"/>
              </w:rPr>
              <w:t>Native Rate</w:t>
            </w:r>
          </w:p>
        </w:tc>
        <w:tc>
          <w:tcPr>
            <w:tcW w:type="dxa" w:w="1584"/>
          </w:tcPr>
          <w:p>
            <w:r>
              <w:rPr>
                <w:b/>
                <w:sz w:val="20"/>
              </w:rPr>
              <w:t>Billed</w:t>
            </w:r>
          </w:p>
        </w:tc>
        <w:tc>
          <w:tcPr>
            <w:tcW w:type="dxa" w:w="1584"/>
          </w:tcPr>
          <w:p>
            <w:r>
              <w:rPr>
                <w:b/>
                <w:sz w:val="20"/>
              </w:rPr>
              <w:t>Actual</w:t>
            </w:r>
          </w:p>
        </w:tc>
        <w:tc>
          <w:tcPr>
            <w:tcW w:type="dxa" w:w="1584"/>
          </w:tcPr>
          <w:p>
            <w:r>
              <w:rPr>
                <w:b/>
                <w:sz w:val="20"/>
              </w:rPr>
              <w:t>Net Excess</w:t>
            </w:r>
          </w:p>
        </w:tc>
      </w:tr>
      <w:tr>
        <w:tc>
          <w:tcPr>
            <w:tcW w:type="dxa" w:w="3744"/>
          </w:tcPr>
          <w:p>
            <w:r>
              <w:rPr>
                <w:sz w:val="20"/>
              </w:rPr>
              <w:t>Offshore Normal (CHD-TS1 R.N)</w:t>
            </w:r>
          </w:p>
        </w:tc>
        <w:tc>
          <w:tcPr>
            <w:tcW w:type="dxa" w:w="1296"/>
          </w:tcPr>
          <w:p>
            <w:r>
              <w:rPr>
                <w:sz w:val="20"/>
              </w:rPr>
              <w:t>$15/hr</w:t>
            </w:r>
          </w:p>
        </w:tc>
        <w:tc>
          <w:tcPr>
            <w:tcW w:type="dxa" w:w="1584"/>
          </w:tcPr>
          <w:p>
            <w:r>
              <w:rPr>
                <w:sz w:val="20"/>
              </w:rPr>
              <w:t>1,760.42</w:t>
            </w:r>
          </w:p>
        </w:tc>
        <w:tc>
          <w:tcPr>
            <w:tcW w:type="dxa" w:w="1584"/>
          </w:tcPr>
          <w:p>
            <w:r>
              <w:rPr>
                <w:sz w:val="20"/>
              </w:rPr>
              <w:t>2,682.18</w:t>
            </w:r>
          </w:p>
        </w:tc>
        <w:tc>
          <w:tcPr>
            <w:tcW w:type="dxa" w:w="1584"/>
          </w:tcPr>
          <w:p>
            <w:r>
              <w:rPr>
                <w:sz w:val="20"/>
              </w:rPr>
              <w:t>+921.76</w:t>
            </w:r>
          </w:p>
        </w:tc>
      </w:tr>
      <w:tr>
        <w:tc>
          <w:tcPr>
            <w:tcW w:type="dxa" w:w="3744"/>
          </w:tcPr>
          <w:p>
            <w:r>
              <w:rPr>
                <w:sz w:val="20"/>
              </w:rPr>
              <w:t>Offshore After-Hours (CHD-TS1 R.AF)</w:t>
            </w:r>
          </w:p>
        </w:tc>
        <w:tc>
          <w:tcPr>
            <w:tcW w:type="dxa" w:w="1296"/>
          </w:tcPr>
          <w:p>
            <w:r>
              <w:rPr>
                <w:sz w:val="20"/>
              </w:rPr>
              <w:t>$30/hr</w:t>
            </w:r>
          </w:p>
        </w:tc>
        <w:tc>
          <w:tcPr>
            <w:tcW w:type="dxa" w:w="1584"/>
          </w:tcPr>
          <w:p>
            <w:r>
              <w:rPr>
                <w:sz w:val="20"/>
              </w:rPr>
              <w:t>1,308.91</w:t>
            </w:r>
          </w:p>
        </w:tc>
        <w:tc>
          <w:tcPr>
            <w:tcW w:type="dxa" w:w="1584"/>
          </w:tcPr>
          <w:p>
            <w:r>
              <w:rPr>
                <w:sz w:val="20"/>
              </w:rPr>
              <w:t>1,801.09</w:t>
            </w:r>
          </w:p>
        </w:tc>
        <w:tc>
          <w:tcPr>
            <w:tcW w:type="dxa" w:w="1584"/>
          </w:tcPr>
          <w:p>
            <w:r>
              <w:rPr>
                <w:sz w:val="20"/>
              </w:rPr>
              <w:t>+492.18</w:t>
            </w:r>
          </w:p>
        </w:tc>
      </w:tr>
      <w:tr>
        <w:tc>
          <w:tcPr>
            <w:tcW w:type="dxa" w:w="3744"/>
          </w:tcPr>
          <w:p>
            <w:r>
              <w:rPr>
                <w:sz w:val="20"/>
              </w:rPr>
              <w:t>Onshore Remote Normal (IRV-TS1 R.N)</w:t>
            </w:r>
          </w:p>
        </w:tc>
        <w:tc>
          <w:tcPr>
            <w:tcW w:type="dxa" w:w="1296"/>
          </w:tcPr>
          <w:p>
            <w:r>
              <w:rPr>
                <w:sz w:val="20"/>
              </w:rPr>
              <w:t>$125/hr</w:t>
            </w:r>
          </w:p>
        </w:tc>
        <w:tc>
          <w:tcPr>
            <w:tcW w:type="dxa" w:w="1584"/>
          </w:tcPr>
          <w:p>
            <w:r>
              <w:rPr>
                <w:sz w:val="20"/>
              </w:rPr>
              <w:t>540.00</w:t>
            </w:r>
          </w:p>
        </w:tc>
        <w:tc>
          <w:tcPr>
            <w:tcW w:type="dxa" w:w="1584"/>
          </w:tcPr>
          <w:p>
            <w:r>
              <w:rPr>
                <w:sz w:val="20"/>
              </w:rPr>
              <w:t>456.82</w:t>
            </w:r>
          </w:p>
        </w:tc>
        <w:tc>
          <w:tcPr>
            <w:tcW w:type="dxa" w:w="1584"/>
          </w:tcPr>
          <w:p>
            <w:r>
              <w:rPr>
                <w:sz w:val="20"/>
              </w:rPr>
              <w:t>−83.18</w:t>
            </w:r>
          </w:p>
        </w:tc>
      </w:tr>
      <w:tr>
        <w:tc>
          <w:tcPr>
            <w:tcW w:type="dxa" w:w="3744"/>
          </w:tcPr>
          <w:p>
            <w:r>
              <w:rPr>
                <w:sz w:val="20"/>
              </w:rPr>
              <w:t>CONTRACTED TOTALS</w:t>
            </w:r>
          </w:p>
        </w:tc>
        <w:tc>
          <w:tcPr>
            <w:tcW w:type="dxa" w:w="1296"/>
          </w:tcPr>
          <w:p>
            <w:r>
              <w:rPr>
                <w:sz w:val="20"/>
              </w:rPr>
            </w:r>
          </w:p>
        </w:tc>
        <w:tc>
          <w:tcPr>
            <w:tcW w:type="dxa" w:w="1584"/>
          </w:tcPr>
          <w:p>
            <w:r>
              <w:rPr>
                <w:sz w:val="20"/>
              </w:rPr>
              <w:t>3,609.33</w:t>
            </w:r>
          </w:p>
        </w:tc>
        <w:tc>
          <w:tcPr>
            <w:tcW w:type="dxa" w:w="1584"/>
          </w:tcPr>
          <w:p>
            <w:r>
              <w:rPr>
                <w:sz w:val="20"/>
              </w:rPr>
              <w:t>4,940.09</w:t>
            </w:r>
          </w:p>
        </w:tc>
        <w:tc>
          <w:tcPr>
            <w:tcW w:type="dxa" w:w="1584"/>
          </w:tcPr>
          <w:p>
            <w:r>
              <w:rPr>
                <w:sz w:val="20"/>
              </w:rPr>
              <w:t>+1,330.76</w:t>
            </w:r>
          </w:p>
        </w:tc>
      </w:tr>
    </w:tbl>
    <w:p>
      <w:pPr>
        <w:jc w:val="both"/>
      </w:pPr>
      <w:r>
        <w:rPr>
          <w:b w:val="0"/>
          <w:i w:val="0"/>
        </w:rPr>
        <w:t>Key aggregations: Net excess 1,330.76 hrs; Gross positive excess 1,413.94 hrs; Sum of monthly positive excess 1,878.67 hrs; Post-signing net excess −69.68 hrs; Post-signing monthly positive 273.40 hrs.</w:t>
      </w:r>
    </w:p>
    <w:p>
      <w:pPr>
        <w:spacing w:before="240" w:after="120"/>
      </w:pPr>
      <w:r>
        <w:rPr>
          <w:b/>
          <w:color w:val="1F4E79"/>
          <w:sz w:val="24"/>
        </w:rPr>
        <w:t>PERIOD-BY-PERIOD (12-month windows from 5/2023)</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3744"/>
          </w:tcPr>
          <w:p>
            <w:r>
              <w:rPr>
                <w:b/>
                <w:sz w:val="20"/>
              </w:rPr>
              <w:t>Period</w:t>
            </w:r>
          </w:p>
        </w:tc>
        <w:tc>
          <w:tcPr>
            <w:tcW w:type="dxa" w:w="1152"/>
          </w:tcPr>
          <w:p>
            <w:r>
              <w:rPr>
                <w:b/>
                <w:sz w:val="20"/>
              </w:rPr>
              <w:t>Months</w:t>
            </w:r>
          </w:p>
        </w:tc>
        <w:tc>
          <w:tcPr>
            <w:tcW w:type="dxa" w:w="1584"/>
          </w:tcPr>
          <w:p>
            <w:r>
              <w:rPr>
                <w:b/>
                <w:sz w:val="20"/>
              </w:rPr>
              <w:t>Billed</w:t>
            </w:r>
          </w:p>
        </w:tc>
        <w:tc>
          <w:tcPr>
            <w:tcW w:type="dxa" w:w="1584"/>
          </w:tcPr>
          <w:p>
            <w:r>
              <w:rPr>
                <w:b/>
                <w:sz w:val="20"/>
              </w:rPr>
              <w:t>Actual</w:t>
            </w:r>
          </w:p>
        </w:tc>
        <w:tc>
          <w:tcPr>
            <w:tcW w:type="dxa" w:w="1584"/>
          </w:tcPr>
          <w:p>
            <w:r>
              <w:rPr>
                <w:b/>
                <w:sz w:val="20"/>
              </w:rPr>
              <w:t>Excess</w:t>
            </w:r>
          </w:p>
        </w:tc>
      </w:tr>
      <w:tr>
        <w:tc>
          <w:tcPr>
            <w:tcW w:type="dxa" w:w="3744"/>
          </w:tcPr>
          <w:p>
            <w:r>
              <w:rPr>
                <w:sz w:val="20"/>
              </w:rPr>
              <w:t>P1 — May 2023 – Apr 2024</w:t>
            </w:r>
          </w:p>
        </w:tc>
        <w:tc>
          <w:tcPr>
            <w:tcW w:type="dxa" w:w="1152"/>
          </w:tcPr>
          <w:p>
            <w:r>
              <w:rPr>
                <w:sz w:val="20"/>
              </w:rPr>
              <w:t>12</w:t>
            </w:r>
          </w:p>
        </w:tc>
        <w:tc>
          <w:tcPr>
            <w:tcW w:type="dxa" w:w="1584"/>
          </w:tcPr>
          <w:p>
            <w:r>
              <w:rPr>
                <w:sz w:val="20"/>
              </w:rPr>
              <w:t>960.00</w:t>
            </w:r>
          </w:p>
        </w:tc>
        <w:tc>
          <w:tcPr>
            <w:tcW w:type="dxa" w:w="1584"/>
          </w:tcPr>
          <w:p>
            <w:r>
              <w:rPr>
                <w:sz w:val="20"/>
              </w:rPr>
              <w:t>1,970.97</w:t>
            </w:r>
          </w:p>
        </w:tc>
        <w:tc>
          <w:tcPr>
            <w:tcW w:type="dxa" w:w="1584"/>
          </w:tcPr>
          <w:p>
            <w:r>
              <w:rPr>
                <w:sz w:val="20"/>
              </w:rPr>
              <w:t>+1,010.97</w:t>
            </w:r>
          </w:p>
        </w:tc>
      </w:tr>
      <w:tr>
        <w:tc>
          <w:tcPr>
            <w:tcW w:type="dxa" w:w="3744"/>
          </w:tcPr>
          <w:p>
            <w:r>
              <w:rPr>
                <w:sz w:val="20"/>
              </w:rPr>
              <w:t>P2 — May 2024 – Apr 2025</w:t>
            </w:r>
          </w:p>
        </w:tc>
        <w:tc>
          <w:tcPr>
            <w:tcW w:type="dxa" w:w="1152"/>
          </w:tcPr>
          <w:p>
            <w:r>
              <w:rPr>
                <w:sz w:val="20"/>
              </w:rPr>
              <w:t>12</w:t>
            </w:r>
          </w:p>
        </w:tc>
        <w:tc>
          <w:tcPr>
            <w:tcW w:type="dxa" w:w="1584"/>
          </w:tcPr>
          <w:p>
            <w:r>
              <w:rPr>
                <w:sz w:val="20"/>
              </w:rPr>
              <w:t>2,025.08</w:t>
            </w:r>
          </w:p>
        </w:tc>
        <w:tc>
          <w:tcPr>
            <w:tcW w:type="dxa" w:w="1584"/>
          </w:tcPr>
          <w:p>
            <w:r>
              <w:rPr>
                <w:sz w:val="20"/>
              </w:rPr>
              <w:t>2,584.18</w:t>
            </w:r>
          </w:p>
        </w:tc>
        <w:tc>
          <w:tcPr>
            <w:tcW w:type="dxa" w:w="1584"/>
          </w:tcPr>
          <w:p>
            <w:r>
              <w:rPr>
                <w:sz w:val="20"/>
              </w:rPr>
              <w:t>+559.10</w:t>
            </w:r>
          </w:p>
        </w:tc>
      </w:tr>
      <w:tr>
        <w:tc>
          <w:tcPr>
            <w:tcW w:type="dxa" w:w="3744"/>
          </w:tcPr>
          <w:p>
            <w:r>
              <w:rPr>
                <w:sz w:val="20"/>
              </w:rPr>
              <w:t>P3 (terminated) — May 2025 – Jul 2025</w:t>
            </w:r>
          </w:p>
        </w:tc>
        <w:tc>
          <w:tcPr>
            <w:tcW w:type="dxa" w:w="1152"/>
          </w:tcPr>
          <w:p>
            <w:r>
              <w:rPr>
                <w:sz w:val="20"/>
              </w:rPr>
              <w:t>3</w:t>
            </w:r>
          </w:p>
        </w:tc>
        <w:tc>
          <w:tcPr>
            <w:tcW w:type="dxa" w:w="1584"/>
          </w:tcPr>
          <w:p>
            <w:r>
              <w:rPr>
                <w:sz w:val="20"/>
              </w:rPr>
              <w:t>624.25</w:t>
            </w:r>
          </w:p>
        </w:tc>
        <w:tc>
          <w:tcPr>
            <w:tcW w:type="dxa" w:w="1584"/>
          </w:tcPr>
          <w:p>
            <w:r>
              <w:rPr>
                <w:sz w:val="20"/>
              </w:rPr>
              <w:t>384.94</w:t>
            </w:r>
          </w:p>
        </w:tc>
        <w:tc>
          <w:tcPr>
            <w:tcW w:type="dxa" w:w="1584"/>
          </w:tcPr>
          <w:p>
            <w:r>
              <w:rPr>
                <w:sz w:val="20"/>
              </w:rPr>
              <w:t>−239.31</w:t>
            </w:r>
          </w:p>
        </w:tc>
      </w:tr>
    </w:tbl>
    <w:p>
      <w:pPr>
        <w:spacing w:before="240" w:after="120"/>
      </w:pPr>
      <w:r>
        <w:rPr>
          <w:b/>
          <w:color w:val="1F4E79"/>
          <w:sz w:val="24"/>
        </w:rPr>
        <w:t>THE SIX SCENARIOS AT $150/HOUR</w:t>
      </w:r>
    </w:p>
    <w:p>
      <w:pPr>
        <w:spacing w:before="240" w:after="120"/>
      </w:pPr>
      <w:r>
        <w:rPr>
          <w:b/>
          <w:sz w:val="22"/>
        </w:rPr>
        <w:t>Scenario D — Monthly Positive × $150 (most aggressive)</w:t>
      </w:r>
    </w:p>
    <w:p>
      <w:pPr>
        <w:jc w:val="both"/>
      </w:pPr>
      <w:r>
        <w:rPr>
          <w:b w:val="0"/>
          <w:i w:val="0"/>
        </w:rPr>
        <w:t>1,878.67 × $150 = $281,800.50 + 10% late = **$309,980.55**.</w:t>
      </w:r>
    </w:p>
    <w:p>
      <w:pPr>
        <w:jc w:val="both"/>
      </w:pPr>
      <w:r>
        <w:rPr>
          <w:b w:val="0"/>
          <w:i/>
        </w:rPr>
        <w:t>Consistent with ¶¶ 3–4 monthly true-up mechanism. Use: opening ask or ceiling.</w:t>
      </w:r>
    </w:p>
    <w:p>
      <w:pPr>
        <w:spacing w:before="240" w:after="120"/>
      </w:pPr>
      <w:r>
        <w:rPr>
          <w:b/>
          <w:sz w:val="22"/>
        </w:rPr>
        <w:t>Scenario Demand — 1,457.50 × $150 ★ ANCHOR</w:t>
      </w:r>
    </w:p>
    <w:p>
      <w:pPr>
        <w:jc w:val="both"/>
      </w:pPr>
      <w:r>
        <w:rPr>
          <w:b w:val="0"/>
          <w:i w:val="0"/>
        </w:rPr>
        <w:t>1,457.50 × $150 = $218,625.00 + 10% late = **$240,487.50 (≈ Demand's $240,555.15)**.</w:t>
      </w:r>
    </w:p>
    <w:p>
      <w:pPr>
        <w:jc w:val="both"/>
      </w:pPr>
      <w:r>
        <w:rPr>
          <w:b w:val="0"/>
          <w:i/>
        </w:rPr>
        <w:t>Already on the record. Primary anchor in the Settlement Position Memorandum.</w:t>
      </w:r>
    </w:p>
    <w:p>
      <w:pPr>
        <w:spacing w:before="240" w:after="120"/>
      </w:pPr>
      <w:r>
        <w:rPr>
          <w:b/>
          <w:sz w:val="22"/>
        </w:rPr>
        <w:t>Scenario B — Gross Positive × $150</w:t>
      </w:r>
    </w:p>
    <w:p>
      <w:pPr>
        <w:jc w:val="both"/>
      </w:pPr>
      <w:r>
        <w:rPr>
          <w:b w:val="0"/>
          <w:i w:val="0"/>
        </w:rPr>
        <w:t>1,413.94 × $150 = $212,091.00 + 10% late = **$233,300.10**.</w:t>
      </w:r>
    </w:p>
    <w:p>
      <w:pPr>
        <w:jc w:val="both"/>
      </w:pPr>
      <w:r>
        <w:rPr>
          <w:b w:val="0"/>
          <w:i/>
        </w:rPr>
        <w:t>Treats each category independently; textually defensible.</w:t>
      </w:r>
    </w:p>
    <w:p>
      <w:pPr>
        <w:spacing w:before="240" w:after="120"/>
      </w:pPr>
      <w:r>
        <w:rPr>
          <w:b/>
          <w:sz w:val="22"/>
        </w:rPr>
        <w:t>Scenario A — Net Excess × $150 (conservative fallback)</w:t>
      </w:r>
    </w:p>
    <w:p>
      <w:pPr>
        <w:jc w:val="both"/>
      </w:pPr>
      <w:r>
        <w:rPr>
          <w:b w:val="0"/>
          <w:i w:val="0"/>
        </w:rPr>
        <w:t>1,330.76 × $150 = $199,614.00 + 10% late = **$219,575.40**.</w:t>
      </w:r>
    </w:p>
    <w:p>
      <w:pPr>
        <w:jc w:val="both"/>
      </w:pPr>
      <w:r>
        <w:rPr>
          <w:b w:val="0"/>
          <w:i/>
        </w:rPr>
        <w:t>Directly computable from the reconciliation spreadsheet.</w:t>
      </w:r>
    </w:p>
    <w:p>
      <w:pPr>
        <w:spacing w:before="240" w:after="120"/>
      </w:pPr>
      <w:r>
        <w:rPr>
          <w:b/>
          <w:color w:val="1F4E79"/>
          <w:sz w:val="24"/>
        </w:rPr>
        <w:t>SCENARIOS BELOW THE $125,000 FLOOR — WHY NOT LEGALLY PLAUSIBLE</w:t>
      </w:r>
    </w:p>
    <w:p>
      <w:pPr>
        <w:jc w:val="both"/>
      </w:pPr>
      <w:r>
        <w:rPr>
          <w:b w:val="0"/>
          <w:i w:val="0"/>
        </w:rPr>
        <w:t>The following three scenarios are the readings Respondent's counsel is expected to advance. Each is defeated by controlling California authority and the agreement's own text.</w:t>
      </w:r>
    </w:p>
    <w:p>
      <w:pPr>
        <w:spacing w:before="240" w:after="120"/>
      </w:pPr>
      <w:r>
        <w:rPr>
          <w:b/>
          <w:sz w:val="22"/>
        </w:rPr>
        <w:t>Scenario E1 — Only P3 (terminated period) × $150 = $0</w:t>
      </w:r>
    </w:p>
    <w:p>
      <w:pPr>
        <w:jc w:val="both"/>
      </w:pPr>
      <w:r>
        <w:rPr>
          <w:b w:val="0"/>
          <w:i w:val="0"/>
        </w:rPr>
        <w:t>Respondent's argument: ¶ 5 only reaches the period during which termination occurs. P3 ran below billed. No cancellation fee owed.</w:t>
      </w:r>
    </w:p>
    <w:p>
      <w:pPr>
        <w:jc w:val="both"/>
      </w:pPr>
      <w:r>
        <w:rPr>
          <w:b w:val="0"/>
          <w:i w:val="0"/>
        </w:rPr>
        <w:t>Why this fails:</w:t>
      </w:r>
    </w:p>
    <w:p>
      <w:pPr>
        <w:pStyle w:val="ListNumber"/>
      </w:pPr>
      <w:r>
        <w:t>Clause text defeats it. Under Contract ¶ 5 reads on "any hours that exceeded the previous under contract period average" — cumulative and unqualified. Cal. Civ. Code § 1638; City of Atascadero v. Merrill Lynch (1998) 68 Cal.App.4th 445, 473.</w:t>
      </w:r>
    </w:p>
    <w:p>
      <w:pPr>
        <w:pStyle w:val="ListNumber"/>
      </w:pPr>
      <w:r>
        <w:t>Whole-contract rule defeats it. Reading ¶ 5 to reach only the terminated period would render the clause a dead letter in virtually every real-world case. Cal. Civ. Code § 1641; Powerine Oil Co. v. Superior Court (2005) 37 Cal.4th 377, 390–391.</w:t>
      </w:r>
    </w:p>
    <w:p>
      <w:pPr>
        <w:pStyle w:val="ListNumber"/>
      </w:pPr>
      <w:r>
        <w:t>¶¶ 3–4 are prospective, not retroactive. The averaging mechanism adjusts future monthly billing. It does not forgive unpaid excess from prior periods. Technijian's P2/P3 billing stepped up to reflect higher demand but the P1 excess hours were delivered and never paid for.</w:t>
      </w:r>
    </w:p>
    <w:p>
      <w:pPr>
        <w:pStyle w:val="ListNumber"/>
      </w:pPr>
      <w:r>
        <w:t>Two independent dispute waivers bar the "records inaccurate" backdoor. Weekly zero-dollar invoices with 30-day dispute window (~140 weekly notices over 27 months, zero disputes); plus T&amp;C § 3.01's 60-day objection window on monthly invoices (zero objections across 27 monthly invoices). Cobb v. Pacific Mut. Life Ins. Co. (1935) 4 Cal.2d 565, 573; Gleason v. Klamer (1980) 103 Cal.App.3d 782, 787. Cal. Comm. Code § 1303 (course of performance).</w:t>
      </w:r>
    </w:p>
    <w:p>
      <w:pPr>
        <w:pStyle w:val="ListNumber"/>
      </w:pPr>
      <w:r>
        <w:t>Ratification cements the reading. Erica Garcia, as VP Finance, personally reviewed and paid each monthly invoice for over two years. Rakestraw v. Rodrigues (1972) 8 Cal.3d 67, 73; Wagner v. Glendale Adventist Med. Ctr. (1989) 216 Cal.App.3d 1379, 1388.</w:t>
      </w:r>
    </w:p>
    <w:p>
      <w:pPr>
        <w:jc w:val="both"/>
      </w:pPr>
      <w:r>
        <w:rPr>
          <w:b w:val="0"/>
          <w:i/>
        </w:rPr>
        <w:t>Bottom line on E1: Treating only P3's excess rewrites the cancellation clause. Not plausible.</w:t>
      </w:r>
    </w:p>
    <w:p>
      <w:pPr>
        <w:spacing w:before="240" w:after="120"/>
      </w:pPr>
      <w:r>
        <w:rPr>
          <w:b/>
          <w:sz w:val="22"/>
        </w:rPr>
        <w:t>Scenario E2 — Only P2 + P3 × $150 = $52,765.35</w:t>
      </w:r>
    </w:p>
    <w:p>
      <w:pPr>
        <w:jc w:val="both"/>
      </w:pPr>
      <w:r>
        <w:rPr>
          <w:b w:val="0"/>
          <w:i w:val="0"/>
        </w:rPr>
        <w:t>Respondent's argument: P1 was trued up at end of period under ¶¶ 3–4. Only P2 + P3 excess counts. 319.79 hrs × $150 + 10% = $52,765.35.</w:t>
      </w:r>
    </w:p>
    <w:p>
      <w:pPr>
        <w:jc w:val="both"/>
      </w:pPr>
      <w:r>
        <w:rPr>
          <w:b w:val="0"/>
          <w:i w:val="0"/>
        </w:rPr>
        <w:t>Why this fails:</w:t>
      </w:r>
    </w:p>
    <w:p>
      <w:pPr>
        <w:pStyle w:val="ListNumber"/>
      </w:pPr>
      <w:r>
        <w:t>Same whole-contract infirmity as E1. Clause reads on "any hours that exceeded" — not "hours in the current or most recent period only." Cal. Civ. Code §§ 1638, 1641.</w:t>
      </w:r>
    </w:p>
    <w:p>
      <w:pPr>
        <w:pStyle w:val="ListNumber"/>
      </w:pPr>
      <w:r>
        <w:t>No provision in ¶¶ 3–4 states that completed-period excess is released. Neither paragraph uses "release," "forgive," or "credit back." Courts will not imply a release the parties did not write. Series AGI West Linn v. Eves (2013) 217 Cal.App.4th 156, 164–165.</w:t>
      </w:r>
    </w:p>
    <w:p>
      <w:pPr>
        <w:pStyle w:val="ListNumber"/>
      </w:pPr>
      <w:r>
        <w:t>The averaging mechanism does not compensate Technijian for the delivered excess. P2's higher billed baseline charged Vintage Design prospectively for ongoing elevated demand; it did not retroactively pay for P1's 1,010.97 delivered-but-unpaid hours.</w:t>
      </w:r>
    </w:p>
    <w:p>
      <w:pPr>
        <w:pStyle w:val="ListNumber"/>
      </w:pPr>
      <w:r>
        <w:t>California disfavors readings that render commercial clauses meaningless. MacKinnon v. Truck Ins. Exchange (2003) 31 Cal.4th 635, 648.</w:t>
      </w:r>
    </w:p>
    <w:p>
      <w:pPr>
        <w:pStyle w:val="ListNumber"/>
      </w:pPr>
      <w:r>
        <w:t>§ 1671(b) burden still on Respondent. Ridgley v. Topa Thrift (1998) 17 Cal.4th 970, 977.</w:t>
      </w:r>
    </w:p>
    <w:p>
      <w:pPr>
        <w:jc w:val="both"/>
      </w:pPr>
      <w:r>
        <w:rPr>
          <w:b w:val="0"/>
          <w:i/>
        </w:rPr>
        <w:t>Bottom line on E2: Intuitive appeal but no textual hook. Not plausible.</w:t>
      </w:r>
    </w:p>
    <w:p>
      <w:pPr>
        <w:spacing w:before="240" w:after="120"/>
      </w:pPr>
      <w:r>
        <w:rPr>
          <w:b/>
          <w:sz w:val="22"/>
        </w:rPr>
        <w:t>Scenario C — Native Rates Knockdown = $20,013.73</w:t>
      </w:r>
    </w:p>
    <w:p>
      <w:pPr>
        <w:jc w:val="both"/>
      </w:pPr>
      <w:r>
        <w:rPr>
          <w:b w:val="0"/>
          <w:i w:val="0"/>
        </w:rPr>
        <w:t>Respondent's argument: $150/hr cancellation rate is a penalty. Reduce to native rates ($15/$30/$125). Net: $18,194.30 + 10% late = $20,013.73.</w:t>
      </w:r>
    </w:p>
    <w:p>
      <w:pPr>
        <w:jc w:val="both"/>
      </w:pPr>
      <w:r>
        <w:rPr>
          <w:b w:val="0"/>
          <w:i w:val="0"/>
        </w:rPr>
        <w:t>Why this fails:</w:t>
      </w:r>
    </w:p>
    <w:p>
      <w:pPr>
        <w:pStyle w:val="ListNumber"/>
      </w:pPr>
      <w:r>
        <w:t>§ 1671(b) forecloses it. Statute presumes liquidated damages valid unless challenger proves unreasonable at time of contracting. Ridgley v. Topa Thrift; Hitz v. First Interstate (1995) 38 Cal.App.4th 274, 286–289.</w:t>
      </w:r>
    </w:p>
    <w:p>
      <w:pPr>
        <w:pStyle w:val="ListNumber"/>
      </w:pPr>
      <w:r>
        <w:t>$150 is demonstrably not punitive. The Agreement's own Out of Contract rate for IRV-TS1 Tech Support is $150/hr onsite normal and $200/hr onsite after-hours. The cancellation rate equals or is below the bargained alternative rate — not a penalty as a matter of law. El Centro Mall (2009) 174 Cal.App.4th 58, 63.</w:t>
      </w:r>
    </w:p>
    <w:p>
      <w:pPr>
        <w:pStyle w:val="ListNumber"/>
      </w:pPr>
      <w:r>
        <w:t>Reasonableness assessed at formation, not hindsight. El Centro Mall; Ridgley.</w:t>
      </w:r>
    </w:p>
    <w:p>
      <w:pPr>
        <w:pStyle w:val="ListNumber"/>
      </w:pPr>
      <w:r>
        <w:t>No procedural unconscionability. B2B; VP Finance signed. Pinnacle Museum Tower (2012) 55 Cal.4th 223, 246–247; Sanchez v. Valencia Holding (2015) 61 Cal.4th 899, 910–911.</w:t>
      </w:r>
    </w:p>
    <w:p>
      <w:pPr>
        <w:pStyle w:val="ListNumber"/>
      </w:pPr>
      <w:r>
        <w:t>Economic substance supports the rate. Technijian scaled capacity to meet above-baseline demand; mid-Period 3 termination leaves Technijian with sunk ramp-up cost. The $150 rate is the bargained compensation.</w:t>
      </w:r>
    </w:p>
    <w:p>
      <w:pPr>
        <w:jc w:val="both"/>
      </w:pPr>
      <w:r>
        <w:rPr>
          <w:b w:val="0"/>
          <w:i/>
        </w:rPr>
        <w:t>Bottom line on C: Respondent cannot meet the § 1671(b) burden. Not plausible.</w:t>
      </w:r>
    </w:p>
    <w:p>
      <w:pPr>
        <w:spacing w:before="240" w:after="120"/>
      </w:pPr>
      <w:r>
        <w:rPr>
          <w:b/>
          <w:color w:val="1F4E79"/>
          <w:sz w:val="24"/>
        </w:rPr>
        <w:t>SUMMARY TABLE</w:t>
      </w:r>
    </w:p>
    <w:tbl>
      <w:tblPr>
        <w:tblStyle w:val="LightGrid-Accent1"/>
        <w:tblW w:type="auto" w:w="0"/>
        <w:tblLook w:firstColumn="1" w:firstRow="1" w:lastColumn="0" w:lastRow="0" w:noHBand="0" w:noVBand="1" w:val="04A0"/>
      </w:tblPr>
      <w:tblGrid>
        <w:gridCol w:w="2340"/>
        <w:gridCol w:w="2340"/>
        <w:gridCol w:w="2340"/>
        <w:gridCol w:w="2340"/>
      </w:tblGrid>
      <w:tr>
        <w:tc>
          <w:tcPr>
            <w:tcW w:type="dxa" w:w="3312"/>
          </w:tcPr>
          <w:p>
            <w:r>
              <w:rPr>
                <w:b/>
                <w:sz w:val="20"/>
              </w:rPr>
              <w:t>Scenario</w:t>
            </w:r>
          </w:p>
        </w:tc>
        <w:tc>
          <w:tcPr>
            <w:tcW w:type="dxa" w:w="2016"/>
          </w:tcPr>
          <w:p>
            <w:r>
              <w:rPr>
                <w:b/>
                <w:sz w:val="20"/>
              </w:rPr>
              <w:t>Hours</w:t>
            </w:r>
          </w:p>
        </w:tc>
        <w:tc>
          <w:tcPr>
            <w:tcW w:type="dxa" w:w="2016"/>
          </w:tcPr>
          <w:p>
            <w:r>
              <w:rPr>
                <w:b/>
                <w:sz w:val="20"/>
              </w:rPr>
              <w:t>TOTAL</w:t>
            </w:r>
          </w:p>
        </w:tc>
        <w:tc>
          <w:tcPr>
            <w:tcW w:type="dxa" w:w="2592"/>
          </w:tcPr>
          <w:p>
            <w:r>
              <w:rPr>
                <w:b/>
                <w:sz w:val="20"/>
              </w:rPr>
              <w:t>Plausibility</w:t>
            </w:r>
          </w:p>
        </w:tc>
      </w:tr>
      <w:tr>
        <w:tc>
          <w:tcPr>
            <w:tcW w:type="dxa" w:w="3312"/>
          </w:tcPr>
          <w:p>
            <w:r>
              <w:rPr>
                <w:sz w:val="20"/>
              </w:rPr>
              <w:t>D — Monthly positive × $150</w:t>
            </w:r>
          </w:p>
        </w:tc>
        <w:tc>
          <w:tcPr>
            <w:tcW w:type="dxa" w:w="2016"/>
          </w:tcPr>
          <w:p>
            <w:r>
              <w:rPr>
                <w:sz w:val="20"/>
              </w:rPr>
              <w:t>1,878.67</w:t>
            </w:r>
          </w:p>
        </w:tc>
        <w:tc>
          <w:tcPr>
            <w:tcW w:type="dxa" w:w="2016"/>
          </w:tcPr>
          <w:p>
            <w:r>
              <w:rPr>
                <w:sz w:val="20"/>
              </w:rPr>
              <w:t>$309,980.55</w:t>
            </w:r>
          </w:p>
        </w:tc>
        <w:tc>
          <w:tcPr>
            <w:tcW w:type="dxa" w:w="2592"/>
          </w:tcPr>
          <w:p>
            <w:r>
              <w:rPr>
                <w:sz w:val="20"/>
              </w:rPr>
              <w:t>Supportable (opening)</w:t>
            </w:r>
          </w:p>
        </w:tc>
      </w:tr>
      <w:tr>
        <w:tc>
          <w:tcPr>
            <w:tcW w:type="dxa" w:w="3312"/>
          </w:tcPr>
          <w:p>
            <w:r>
              <w:rPr>
                <w:sz w:val="20"/>
              </w:rPr>
              <w:t>Demand ★ ANCHOR</w:t>
            </w:r>
          </w:p>
        </w:tc>
        <w:tc>
          <w:tcPr>
            <w:tcW w:type="dxa" w:w="2016"/>
          </w:tcPr>
          <w:p>
            <w:r>
              <w:rPr>
                <w:sz w:val="20"/>
              </w:rPr>
              <w:t>1,457.50</w:t>
            </w:r>
          </w:p>
        </w:tc>
        <w:tc>
          <w:tcPr>
            <w:tcW w:type="dxa" w:w="2016"/>
          </w:tcPr>
          <w:p>
            <w:r>
              <w:rPr>
                <w:sz w:val="20"/>
              </w:rPr>
              <w:t>$240,487.50</w:t>
            </w:r>
          </w:p>
        </w:tc>
        <w:tc>
          <w:tcPr>
            <w:tcW w:type="dxa" w:w="2592"/>
          </w:tcPr>
          <w:p>
            <w:r>
              <w:rPr>
                <w:sz w:val="20"/>
              </w:rPr>
              <w:t>On record</w:t>
            </w:r>
          </w:p>
        </w:tc>
      </w:tr>
      <w:tr>
        <w:tc>
          <w:tcPr>
            <w:tcW w:type="dxa" w:w="3312"/>
          </w:tcPr>
          <w:p>
            <w:r>
              <w:rPr>
                <w:sz w:val="20"/>
              </w:rPr>
              <w:t>B — Gross positive × $150</w:t>
            </w:r>
          </w:p>
        </w:tc>
        <w:tc>
          <w:tcPr>
            <w:tcW w:type="dxa" w:w="2016"/>
          </w:tcPr>
          <w:p>
            <w:r>
              <w:rPr>
                <w:sz w:val="20"/>
              </w:rPr>
              <w:t>1,413.94</w:t>
            </w:r>
          </w:p>
        </w:tc>
        <w:tc>
          <w:tcPr>
            <w:tcW w:type="dxa" w:w="2016"/>
          </w:tcPr>
          <w:p>
            <w:r>
              <w:rPr>
                <w:sz w:val="20"/>
              </w:rPr>
              <w:t>$233,300.10</w:t>
            </w:r>
          </w:p>
        </w:tc>
        <w:tc>
          <w:tcPr>
            <w:tcW w:type="dxa" w:w="2592"/>
          </w:tcPr>
          <w:p>
            <w:r>
              <w:rPr>
                <w:sz w:val="20"/>
              </w:rPr>
              <w:t>Supportable</w:t>
            </w:r>
          </w:p>
        </w:tc>
      </w:tr>
      <w:tr>
        <w:tc>
          <w:tcPr>
            <w:tcW w:type="dxa" w:w="3312"/>
          </w:tcPr>
          <w:p>
            <w:r>
              <w:rPr>
                <w:sz w:val="20"/>
              </w:rPr>
              <w:t>A — Net excess × $150</w:t>
            </w:r>
          </w:p>
        </w:tc>
        <w:tc>
          <w:tcPr>
            <w:tcW w:type="dxa" w:w="2016"/>
          </w:tcPr>
          <w:p>
            <w:r>
              <w:rPr>
                <w:sz w:val="20"/>
              </w:rPr>
              <w:t>1,330.76</w:t>
            </w:r>
          </w:p>
        </w:tc>
        <w:tc>
          <w:tcPr>
            <w:tcW w:type="dxa" w:w="2016"/>
          </w:tcPr>
          <w:p>
            <w:r>
              <w:rPr>
                <w:sz w:val="20"/>
              </w:rPr>
              <w:t>$219,575.40</w:t>
            </w:r>
          </w:p>
        </w:tc>
        <w:tc>
          <w:tcPr>
            <w:tcW w:type="dxa" w:w="2592"/>
          </w:tcPr>
          <w:p>
            <w:r>
              <w:rPr>
                <w:sz w:val="20"/>
              </w:rPr>
              <w:t>Directly provable</w:t>
            </w:r>
          </w:p>
        </w:tc>
      </w:tr>
      <w:tr>
        <w:tc>
          <w:tcPr>
            <w:tcW w:type="dxa" w:w="3312"/>
          </w:tcPr>
          <w:p>
            <w:r>
              <w:rPr>
                <w:sz w:val="20"/>
              </w:rPr>
              <w:t>★ $125,000 SETTLEMENT FLOOR</w:t>
            </w:r>
          </w:p>
        </w:tc>
        <w:tc>
          <w:tcPr>
            <w:tcW w:type="dxa" w:w="2016"/>
          </w:tcPr>
          <w:p>
            <w:r>
              <w:rPr>
                <w:sz w:val="20"/>
              </w:rPr>
            </w:r>
          </w:p>
        </w:tc>
        <w:tc>
          <w:tcPr>
            <w:tcW w:type="dxa" w:w="2016"/>
          </w:tcPr>
          <w:p>
            <w:r>
              <w:rPr>
                <w:sz w:val="20"/>
              </w:rPr>
              <w:t>$125,000</w:t>
            </w:r>
          </w:p>
        </w:tc>
        <w:tc>
          <w:tcPr>
            <w:tcW w:type="dxa" w:w="2592"/>
          </w:tcPr>
          <w:p>
            <w:r>
              <w:rPr>
                <w:sz w:val="20"/>
              </w:rPr>
              <w:t>Walk-away</w:t>
            </w:r>
          </w:p>
        </w:tc>
      </w:tr>
      <w:tr>
        <w:tc>
          <w:tcPr>
            <w:tcW w:type="dxa" w:w="3312"/>
          </w:tcPr>
          <w:p>
            <w:r>
              <w:rPr>
                <w:sz w:val="20"/>
              </w:rPr>
              <w:t>E2 — P2 + P3 only × $150</w:t>
            </w:r>
          </w:p>
        </w:tc>
        <w:tc>
          <w:tcPr>
            <w:tcW w:type="dxa" w:w="2016"/>
          </w:tcPr>
          <w:p>
            <w:r>
              <w:rPr>
                <w:sz w:val="20"/>
              </w:rPr>
              <w:t>319.79</w:t>
            </w:r>
          </w:p>
        </w:tc>
        <w:tc>
          <w:tcPr>
            <w:tcW w:type="dxa" w:w="2016"/>
          </w:tcPr>
          <w:p>
            <w:r>
              <w:rPr>
                <w:sz w:val="20"/>
              </w:rPr>
              <w:t>$52,765.35</w:t>
            </w:r>
          </w:p>
        </w:tc>
        <w:tc>
          <w:tcPr>
            <w:tcW w:type="dxa" w:w="2592"/>
          </w:tcPr>
          <w:p>
            <w:r>
              <w:rPr>
                <w:sz w:val="20"/>
              </w:rPr>
              <w:t>Not plausible</w:t>
            </w:r>
          </w:p>
        </w:tc>
      </w:tr>
      <w:tr>
        <w:tc>
          <w:tcPr>
            <w:tcW w:type="dxa" w:w="3312"/>
          </w:tcPr>
          <w:p>
            <w:r>
              <w:rPr>
                <w:sz w:val="20"/>
              </w:rPr>
              <w:t>C — Native rates</w:t>
            </w:r>
          </w:p>
        </w:tc>
        <w:tc>
          <w:tcPr>
            <w:tcW w:type="dxa" w:w="2016"/>
          </w:tcPr>
          <w:p>
            <w:r>
              <w:rPr>
                <w:sz w:val="20"/>
              </w:rPr>
              <w:t>1,330.76 (mixed)</w:t>
            </w:r>
          </w:p>
        </w:tc>
        <w:tc>
          <w:tcPr>
            <w:tcW w:type="dxa" w:w="2016"/>
          </w:tcPr>
          <w:p>
            <w:r>
              <w:rPr>
                <w:sz w:val="20"/>
              </w:rPr>
              <w:t>$20,013.73</w:t>
            </w:r>
          </w:p>
        </w:tc>
        <w:tc>
          <w:tcPr>
            <w:tcW w:type="dxa" w:w="2592"/>
          </w:tcPr>
          <w:p>
            <w:r>
              <w:rPr>
                <w:sz w:val="20"/>
              </w:rPr>
              <w:t>Not plausible (§ 1671(b))</w:t>
            </w:r>
          </w:p>
        </w:tc>
      </w:tr>
      <w:tr>
        <w:tc>
          <w:tcPr>
            <w:tcW w:type="dxa" w:w="3312"/>
          </w:tcPr>
          <w:p>
            <w:r>
              <w:rPr>
                <w:sz w:val="20"/>
              </w:rPr>
              <w:t>E1 — P3 only × $150</w:t>
            </w:r>
          </w:p>
        </w:tc>
        <w:tc>
          <w:tcPr>
            <w:tcW w:type="dxa" w:w="2016"/>
          </w:tcPr>
          <w:p>
            <w:r>
              <w:rPr>
                <w:sz w:val="20"/>
              </w:rPr>
              <w:t>−239.31</w:t>
            </w:r>
          </w:p>
        </w:tc>
        <w:tc>
          <w:tcPr>
            <w:tcW w:type="dxa" w:w="2016"/>
          </w:tcPr>
          <w:p>
            <w:r>
              <w:rPr>
                <w:sz w:val="20"/>
              </w:rPr>
              <w:t>$0</w:t>
            </w:r>
          </w:p>
        </w:tc>
        <w:tc>
          <w:tcPr>
            <w:tcW w:type="dxa" w:w="2592"/>
          </w:tcPr>
          <w:p>
            <w:r>
              <w:rPr>
                <w:sz w:val="20"/>
              </w:rPr>
              <w:t>Not plausible</w:t>
            </w:r>
          </w:p>
        </w:tc>
      </w:tr>
    </w:tbl>
    <w:p>
      <w:pPr>
        <w:spacing w:before="240" w:after="120"/>
      </w:pPr>
      <w:r>
        <w:rPr>
          <w:b/>
          <w:color w:val="1F4E79"/>
          <w:sz w:val="24"/>
        </w:rPr>
        <w:t>SETTLEMENT STRATEGY</w:t>
      </w:r>
    </w:p>
    <w:tbl>
      <w:tblPr>
        <w:tblStyle w:val="LightGrid-Accent1"/>
        <w:tblW w:type="auto" w:w="0"/>
        <w:tblLook w:firstColumn="1" w:firstRow="1" w:lastColumn="0" w:lastRow="0" w:noHBand="0" w:noVBand="1" w:val="04A0"/>
      </w:tblPr>
      <w:tblGrid>
        <w:gridCol w:w="3120"/>
        <w:gridCol w:w="3120"/>
        <w:gridCol w:w="3120"/>
      </w:tblGrid>
      <w:tr>
        <w:tc>
          <w:tcPr>
            <w:tcW w:type="dxa" w:w="2880"/>
          </w:tcPr>
          <w:p>
            <w:r>
              <w:rPr>
                <w:b/>
                <w:sz w:val="20"/>
              </w:rPr>
              <w:t>Position</w:t>
            </w:r>
          </w:p>
        </w:tc>
        <w:tc>
          <w:tcPr>
            <w:tcW w:type="dxa" w:w="2592"/>
          </w:tcPr>
          <w:p>
            <w:r>
              <w:rPr>
                <w:b/>
                <w:sz w:val="20"/>
              </w:rPr>
              <w:t>Amount</w:t>
            </w:r>
          </w:p>
        </w:tc>
        <w:tc>
          <w:tcPr>
            <w:tcW w:type="dxa" w:w="3888"/>
          </w:tcPr>
          <w:p>
            <w:r>
              <w:rPr>
                <w:b/>
                <w:sz w:val="20"/>
              </w:rPr>
              <w:t>Rationale</w:t>
            </w:r>
          </w:p>
        </w:tc>
      </w:tr>
      <w:tr>
        <w:tc>
          <w:tcPr>
            <w:tcW w:type="dxa" w:w="2880"/>
          </w:tcPr>
          <w:p>
            <w:r>
              <w:rPr>
                <w:sz w:val="20"/>
              </w:rPr>
              <w:t>Opening (stated in memo)</w:t>
            </w:r>
          </w:p>
        </w:tc>
        <w:tc>
          <w:tcPr>
            <w:tcW w:type="dxa" w:w="2592"/>
          </w:tcPr>
          <w:p>
            <w:r>
              <w:rPr>
                <w:sz w:val="20"/>
              </w:rPr>
              <w:t>$240,555.15</w:t>
            </w:r>
          </w:p>
        </w:tc>
        <w:tc>
          <w:tcPr>
            <w:tcW w:type="dxa" w:w="3888"/>
          </w:tcPr>
          <w:p>
            <w:r>
              <w:rPr>
                <w:sz w:val="20"/>
              </w:rPr>
              <w:t>Matches Demand</w:t>
            </w:r>
          </w:p>
        </w:tc>
      </w:tr>
      <w:tr>
        <w:tc>
          <w:tcPr>
            <w:tcW w:type="dxa" w:w="2880"/>
          </w:tcPr>
          <w:p>
            <w:r>
              <w:rPr>
                <w:sz w:val="20"/>
              </w:rPr>
              <w:t>First concession</w:t>
            </w:r>
          </w:p>
        </w:tc>
        <w:tc>
          <w:tcPr>
            <w:tcW w:type="dxa" w:w="2592"/>
          </w:tcPr>
          <w:p>
            <w:r>
              <w:rPr>
                <w:sz w:val="20"/>
              </w:rPr>
              <w:t>$200,000 – $220,000</w:t>
            </w:r>
          </w:p>
        </w:tc>
        <w:tc>
          <w:tcPr>
            <w:tcW w:type="dxa" w:w="3888"/>
          </w:tcPr>
          <w:p>
            <w:r>
              <w:rPr>
                <w:sz w:val="20"/>
              </w:rPr>
              <w:t>Scenarios A/B territory</w:t>
            </w:r>
          </w:p>
        </w:tc>
      </w:tr>
      <w:tr>
        <w:tc>
          <w:tcPr>
            <w:tcW w:type="dxa" w:w="2880"/>
          </w:tcPr>
          <w:p>
            <w:r>
              <w:rPr>
                <w:sz w:val="20"/>
              </w:rPr>
              <w:t>Realistic landing zone</w:t>
            </w:r>
          </w:p>
        </w:tc>
        <w:tc>
          <w:tcPr>
            <w:tcW w:type="dxa" w:w="2592"/>
          </w:tcPr>
          <w:p>
            <w:r>
              <w:rPr>
                <w:sz w:val="20"/>
              </w:rPr>
              <w:t>$150,000 – $180,000</w:t>
            </w:r>
          </w:p>
        </w:tc>
        <w:tc>
          <w:tcPr>
            <w:tcW w:type="dxa" w:w="3888"/>
          </w:tcPr>
          <w:p>
            <w:r>
              <w:rPr>
                <w:sz w:val="20"/>
              </w:rPr>
              <w:t>~35–40% off Demand</w:t>
            </w:r>
          </w:p>
        </w:tc>
      </w:tr>
      <w:tr>
        <w:tc>
          <w:tcPr>
            <w:tcW w:type="dxa" w:w="2880"/>
          </w:tcPr>
          <w:p>
            <w:r>
              <w:rPr>
                <w:sz w:val="20"/>
              </w:rPr>
              <w:t>Walk-away floor</w:t>
            </w:r>
          </w:p>
        </w:tc>
        <w:tc>
          <w:tcPr>
            <w:tcW w:type="dxa" w:w="2592"/>
          </w:tcPr>
          <w:p>
            <w:r>
              <w:rPr>
                <w:sz w:val="20"/>
              </w:rPr>
              <w:t>$125,000</w:t>
            </w:r>
          </w:p>
        </w:tc>
        <w:tc>
          <w:tcPr>
            <w:tcW w:type="dxa" w:w="3888"/>
          </w:tcPr>
          <w:p>
            <w:r>
              <w:rPr>
                <w:sz w:val="20"/>
              </w:rPr>
              <w:t>Below this, arbitrate</w:t>
            </w:r>
          </w:p>
        </w:tc>
      </w:tr>
      <w:tr>
        <w:tc>
          <w:tcPr>
            <w:tcW w:type="dxa" w:w="2880"/>
          </w:tcPr>
          <w:p>
            <w:r>
              <w:rPr>
                <w:sz w:val="20"/>
              </w:rPr>
              <w:t>Internal ceiling (not stated)</w:t>
            </w:r>
          </w:p>
        </w:tc>
        <w:tc>
          <w:tcPr>
            <w:tcW w:type="dxa" w:w="2592"/>
          </w:tcPr>
          <w:p>
            <w:r>
              <w:rPr>
                <w:sz w:val="20"/>
              </w:rPr>
              <w:t>$309,980.55 (Scenario D)</w:t>
            </w:r>
          </w:p>
        </w:tc>
        <w:tc>
          <w:tcPr>
            <w:tcW w:type="dxa" w:w="3888"/>
          </w:tcPr>
          <w:p>
            <w:r>
              <w:rPr>
                <w:sz w:val="20"/>
              </w:rPr>
              <w:t>If pushed</w:t>
            </w:r>
          </w:p>
        </w:tc>
      </w:tr>
    </w:tbl>
    <w:p>
      <w:pPr>
        <w:spacing w:before="240" w:after="120"/>
      </w:pPr>
      <w:r>
        <w:rPr>
          <w:b/>
          <w:color w:val="1F4E79"/>
          <w:sz w:val="24"/>
        </w:rPr>
        <w:t>KEY LEGAL LEVERAGE POINTS</w:t>
      </w:r>
    </w:p>
    <w:tbl>
      <w:tblPr>
        <w:tblStyle w:val="LightGrid-Accent1"/>
        <w:tblW w:type="auto" w:w="0"/>
        <w:tblLook w:firstColumn="1" w:firstRow="1" w:lastColumn="0" w:lastRow="0" w:noHBand="0" w:noVBand="1" w:val="04A0"/>
      </w:tblPr>
      <w:tblGrid>
        <w:gridCol w:w="3120"/>
        <w:gridCol w:w="3120"/>
        <w:gridCol w:w="3120"/>
      </w:tblGrid>
      <w:tr>
        <w:tc>
          <w:tcPr>
            <w:tcW w:type="dxa" w:w="3168"/>
          </w:tcPr>
          <w:p>
            <w:r>
              <w:rPr>
                <w:b/>
                <w:sz w:val="20"/>
              </w:rPr>
              <w:t>Argument</w:t>
            </w:r>
          </w:p>
        </w:tc>
        <w:tc>
          <w:tcPr>
            <w:tcW w:type="dxa" w:w="3600"/>
          </w:tcPr>
          <w:p>
            <w:r>
              <w:rPr>
                <w:b/>
                <w:sz w:val="20"/>
              </w:rPr>
              <w:t>Authority</w:t>
            </w:r>
          </w:p>
        </w:tc>
        <w:tc>
          <w:tcPr>
            <w:tcW w:type="dxa" w:w="2592"/>
          </w:tcPr>
          <w:p>
            <w:r>
              <w:rPr>
                <w:b/>
                <w:sz w:val="20"/>
              </w:rPr>
              <w:t>Effect</w:t>
            </w:r>
          </w:p>
        </w:tc>
      </w:tr>
      <w:tr>
        <w:tc>
          <w:tcPr>
            <w:tcW w:type="dxa" w:w="3168"/>
          </w:tcPr>
          <w:p>
            <w:r>
              <w:rPr>
                <w:sz w:val="20"/>
              </w:rPr>
              <w:t>§ 1671(b) places burden on Respondent</w:t>
            </w:r>
          </w:p>
        </w:tc>
        <w:tc>
          <w:tcPr>
            <w:tcW w:type="dxa" w:w="3600"/>
          </w:tcPr>
          <w:p>
            <w:r>
              <w:rPr>
                <w:sz w:val="20"/>
              </w:rPr>
              <w:t>Ridgley; Hitz</w:t>
            </w:r>
          </w:p>
        </w:tc>
        <w:tc>
          <w:tcPr>
            <w:tcW w:type="dxa" w:w="2592"/>
          </w:tcPr>
          <w:p>
            <w:r>
              <w:rPr>
                <w:sz w:val="20"/>
              </w:rPr>
              <w:t>Defeats Scenario C</w:t>
            </w:r>
          </w:p>
        </w:tc>
      </w:tr>
      <w:tr>
        <w:tc>
          <w:tcPr>
            <w:tcW w:type="dxa" w:w="3168"/>
          </w:tcPr>
          <w:p>
            <w:r>
              <w:rPr>
                <w:sz w:val="20"/>
              </w:rPr>
              <w:t>Whole-contract construction</w:t>
            </w:r>
          </w:p>
        </w:tc>
        <w:tc>
          <w:tcPr>
            <w:tcW w:type="dxa" w:w="3600"/>
          </w:tcPr>
          <w:p>
            <w:r>
              <w:rPr>
                <w:sz w:val="20"/>
              </w:rPr>
              <w:t>Civ. Code § 1641; Powerine Oil; MacKinnon</w:t>
            </w:r>
          </w:p>
        </w:tc>
        <w:tc>
          <w:tcPr>
            <w:tcW w:type="dxa" w:w="2592"/>
          </w:tcPr>
          <w:p>
            <w:r>
              <w:rPr>
                <w:sz w:val="20"/>
              </w:rPr>
              <w:t>Defeats E1 and E2</w:t>
            </w:r>
          </w:p>
        </w:tc>
      </w:tr>
      <w:tr>
        <w:tc>
          <w:tcPr>
            <w:tcW w:type="dxa" w:w="3168"/>
          </w:tcPr>
          <w:p>
            <w:r>
              <w:rPr>
                <w:sz w:val="20"/>
              </w:rPr>
              <w:t>Plain meaning of ¶ 5</w:t>
            </w:r>
          </w:p>
        </w:tc>
        <w:tc>
          <w:tcPr>
            <w:tcW w:type="dxa" w:w="3600"/>
          </w:tcPr>
          <w:p>
            <w:r>
              <w:rPr>
                <w:sz w:val="20"/>
              </w:rPr>
              <w:t>Civ. Code § 1638; City of Atascadero</w:t>
            </w:r>
          </w:p>
        </w:tc>
        <w:tc>
          <w:tcPr>
            <w:tcW w:type="dxa" w:w="2592"/>
          </w:tcPr>
          <w:p>
            <w:r>
              <w:rPr>
                <w:sz w:val="20"/>
              </w:rPr>
              <w:t>Defeats E1 and E2</w:t>
            </w:r>
          </w:p>
        </w:tc>
      </w:tr>
      <w:tr>
        <w:tc>
          <w:tcPr>
            <w:tcW w:type="dxa" w:w="3168"/>
          </w:tcPr>
          <w:p>
            <w:r>
              <w:rPr>
                <w:sz w:val="20"/>
              </w:rPr>
              <w:t>Integration clause bars oral side-deals</w:t>
            </w:r>
          </w:p>
        </w:tc>
        <w:tc>
          <w:tcPr>
            <w:tcW w:type="dxa" w:w="3600"/>
          </w:tcPr>
          <w:p>
            <w:r>
              <w:rPr>
                <w:sz w:val="20"/>
              </w:rPr>
              <w:t>T&amp;C § 6.08; CCP § 1856; Casa Herrera</w:t>
            </w:r>
          </w:p>
        </w:tc>
        <w:tc>
          <w:tcPr>
            <w:tcW w:type="dxa" w:w="2592"/>
          </w:tcPr>
          <w:p>
            <w:r>
              <w:rPr>
                <w:sz w:val="20"/>
              </w:rPr>
              <w:t>Blocks oral defenses</w:t>
            </w:r>
          </w:p>
        </w:tc>
      </w:tr>
      <w:tr>
        <w:tc>
          <w:tcPr>
            <w:tcW w:type="dxa" w:w="3168"/>
          </w:tcPr>
          <w:p>
            <w:r>
              <w:rPr>
                <w:sz w:val="20"/>
              </w:rPr>
              <w:t>Weekly (30-day) + monthly (60-day) dispute waivers</w:t>
            </w:r>
          </w:p>
        </w:tc>
        <w:tc>
          <w:tcPr>
            <w:tcW w:type="dxa" w:w="3600"/>
          </w:tcPr>
          <w:p>
            <w:r>
              <w:rPr>
                <w:sz w:val="20"/>
              </w:rPr>
              <w:t>T&amp;C § 3.01; Cobb; Gleason; Comm. Code § 1303</w:t>
            </w:r>
          </w:p>
        </w:tc>
        <w:tc>
          <w:tcPr>
            <w:tcW w:type="dxa" w:w="2592"/>
          </w:tcPr>
          <w:p>
            <w:r>
              <w:rPr>
                <w:sz w:val="20"/>
              </w:rPr>
              <w:t>Forecloses ticketing-accuracy defense</w:t>
            </w:r>
          </w:p>
        </w:tc>
      </w:tr>
      <w:tr>
        <w:tc>
          <w:tcPr>
            <w:tcW w:type="dxa" w:w="3168"/>
          </w:tcPr>
          <w:p>
            <w:r>
              <w:rPr>
                <w:sz w:val="20"/>
              </w:rPr>
              <w:t>27 months ratification</w:t>
            </w:r>
          </w:p>
        </w:tc>
        <w:tc>
          <w:tcPr>
            <w:tcW w:type="dxa" w:w="3600"/>
          </w:tcPr>
          <w:p>
            <w:r>
              <w:rPr>
                <w:sz w:val="20"/>
              </w:rPr>
              <w:t>Rakestraw; Pasadena Medi-Center</w:t>
            </w:r>
          </w:p>
        </w:tc>
        <w:tc>
          <w:tcPr>
            <w:tcW w:type="dxa" w:w="2592"/>
          </w:tcPr>
          <w:p>
            <w:r>
              <w:rPr>
                <w:sz w:val="20"/>
              </w:rPr>
              <w:t>Cures any late defenses</w:t>
            </w:r>
          </w:p>
        </w:tc>
      </w:tr>
      <w:tr>
        <w:tc>
          <w:tcPr>
            <w:tcW w:type="dxa" w:w="3168"/>
          </w:tcPr>
          <w:p>
            <w:r>
              <w:rPr>
                <w:sz w:val="20"/>
              </w:rPr>
              <w:t>VP Finance apparent authority</w:t>
            </w:r>
          </w:p>
        </w:tc>
        <w:tc>
          <w:tcPr>
            <w:tcW w:type="dxa" w:w="3600"/>
          </w:tcPr>
          <w:p>
            <w:r>
              <w:rPr>
                <w:sz w:val="20"/>
              </w:rPr>
              <w:t>Corp. Code § 313; Snukal</w:t>
            </w:r>
          </w:p>
        </w:tc>
        <w:tc>
          <w:tcPr>
            <w:tcW w:type="dxa" w:w="2592"/>
          </w:tcPr>
          <w:p>
            <w:r>
              <w:rPr>
                <w:sz w:val="20"/>
              </w:rPr>
              <w:t>Defeats authority challenge</w:t>
            </w:r>
          </w:p>
        </w:tc>
      </w:tr>
      <w:tr>
        <w:tc>
          <w:tcPr>
            <w:tcW w:type="dxa" w:w="3168"/>
          </w:tcPr>
          <w:p>
            <w:r>
              <w:rPr>
                <w:sz w:val="20"/>
              </w:rPr>
              <w:t>DocuSign attributable</w:t>
            </w:r>
          </w:p>
        </w:tc>
        <w:tc>
          <w:tcPr>
            <w:tcW w:type="dxa" w:w="3600"/>
          </w:tcPr>
          <w:p>
            <w:r>
              <w:rPr>
                <w:sz w:val="20"/>
              </w:rPr>
              <w:t>Civ. Code § 1633.9; Fabian</w:t>
            </w:r>
          </w:p>
        </w:tc>
        <w:tc>
          <w:tcPr>
            <w:tcW w:type="dxa" w:w="2592"/>
          </w:tcPr>
          <w:p>
            <w:r>
              <w:rPr>
                <w:sz w:val="20"/>
              </w:rPr>
              <w:t>Defeats authentication challenge</w:t>
            </w:r>
          </w:p>
        </w:tc>
      </w:tr>
      <w:tr>
        <w:tc>
          <w:tcPr>
            <w:tcW w:type="dxa" w:w="3168"/>
          </w:tcPr>
          <w:p>
            <w:r>
              <w:rPr>
                <w:sz w:val="20"/>
              </w:rPr>
              <w:t>Attorneys' fees via § 5.02 + § 1717</w:t>
            </w:r>
          </w:p>
        </w:tc>
        <w:tc>
          <w:tcPr>
            <w:tcW w:type="dxa" w:w="3600"/>
          </w:tcPr>
          <w:p>
            <w:r>
              <w:rPr>
                <w:sz w:val="20"/>
              </w:rPr>
              <w:t>Santisas v. Goodin</w:t>
            </w:r>
          </w:p>
        </w:tc>
        <w:tc>
          <w:tcPr>
            <w:tcW w:type="dxa" w:w="2592"/>
          </w:tcPr>
          <w:p>
            <w:r>
              <w:rPr>
                <w:sz w:val="20"/>
              </w:rPr>
              <w:t>Shifts fee exposure</w:t>
            </w:r>
          </w:p>
        </w:tc>
      </w:tr>
      <w:tr>
        <w:tc>
          <w:tcPr>
            <w:tcW w:type="dxa" w:w="3168"/>
          </w:tcPr>
          <w:p>
            <w:r>
              <w:rPr>
                <w:sz w:val="20"/>
              </w:rPr>
              <w:t>Business records admissible</w:t>
            </w:r>
          </w:p>
        </w:tc>
        <w:tc>
          <w:tcPr>
            <w:tcW w:type="dxa" w:w="3600"/>
          </w:tcPr>
          <w:p>
            <w:r>
              <w:rPr>
                <w:sz w:val="20"/>
              </w:rPr>
              <w:t>Evid. Code §§ 1271, 1552; Jazayeri</w:t>
            </w:r>
          </w:p>
        </w:tc>
        <w:tc>
          <w:tcPr>
            <w:tcW w:type="dxa" w:w="2592"/>
          </w:tcPr>
          <w:p>
            <w:r>
              <w:rPr>
                <w:sz w:val="20"/>
              </w:rPr>
              <w:t>Admits ticketing and ledger</w:t>
            </w:r>
          </w:p>
        </w:tc>
      </w:tr>
    </w:tbl>
    <w:p>
      <w:pPr>
        <w:jc w:val="both"/>
      </w:pPr>
      <w:r>
        <w:rPr>
          <w:b w:val="0"/>
          <w:i/>
        </w:rPr>
        <w:t>Full citations and treatment are in the accompanying Case Law Research Memorandum (30 issues).</w:t>
      </w:r>
    </w:p>
    <w:p>
      <w:pPr>
        <w:spacing w:before="240" w:after="120"/>
      </w:pPr>
      <w:r>
        <w:rPr>
          <w:b/>
          <w:color w:val="1F4E79"/>
          <w:sz w:val="24"/>
        </w:rPr>
        <w:t>PRE-MEETING CHECKLIST</w:t>
      </w:r>
    </w:p>
    <w:p>
      <w:pPr>
        <w:pStyle w:val="ListBullet"/>
      </w:pPr>
      <w:r>
        <w:t>Confirm the $240,555.15 anchor and $125,000 floor with Technijian</w:t>
      </w:r>
    </w:p>
    <w:p>
      <w:pPr>
        <w:pStyle w:val="ListBullet"/>
      </w:pPr>
      <w:r>
        <w:t>Confirm landing zone ($150K–$180K) and opening concession tiers internally</w:t>
      </w:r>
    </w:p>
    <w:p>
      <w:pPr>
        <w:pStyle w:val="ListBullet"/>
      </w:pPr>
      <w:r>
        <w:t>Prepare Exhibit C month-by-month billed-vs-actual reconciliation as a standalone spreadsheet</w:t>
      </w:r>
    </w:p>
    <w:p>
      <w:pPr>
        <w:pStyle w:val="ListBullet"/>
      </w:pPr>
      <w:r>
        <w:t>Prepare "Delaware LLC → California corporation" caption amendment (AAA Rule R-6)</w:t>
      </w:r>
    </w:p>
    <w:p>
      <w:pPr>
        <w:pStyle w:val="ListBullet"/>
      </w:pPr>
      <w:r>
        <w:t>Pull June 23, 2025 termination notice and June 27, 2025 final invoice</w:t>
      </w:r>
    </w:p>
    <w:p>
      <w:pPr>
        <w:pStyle w:val="ListBullet"/>
      </w:pPr>
      <w:r>
        <w:t>Calculate precise attorneys' fees incurred to date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808080"/>
        <w:sz w:val="16"/>
      </w:rPr>
      <w:t>ATTORNEY-CLIENT PRIVILEGED / ATTORNEY WORK PRODUCT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