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Sophos SF V-2C4 Virtual Firewall &amp; Edge Appliance Deployment — American Fundstars Financial Group LLC</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March 23,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SOW-AFFG-001</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March 23, 2026</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American Fundstars Financial Group LLC (“Client”)</w:t>
      </w:r>
    </w:p>
    <w:p>
      <w:r>
        <w:rPr>
          <w:rFonts w:ascii="Open Sans" w:cs="Open Sans" w:eastAsia="Open Sans" w:hAnsi="Open Sans"/>
          <w:color w:val="59595B"/>
          <w:sz w:val="22"/>
          <w:szCs w:val="22"/>
        </w:rPr>
        <w:t xml:space="preserve">1 Park Plaza, Suite 210</w:t>
      </w:r>
    </w:p>
    <w:p>
      <w:r>
        <w:rPr>
          <w:rFonts w:ascii="Open Sans" w:cs="Open Sans" w:eastAsia="Open Sans" w:hAnsi="Open Sans"/>
          <w:color w:val="59595B"/>
          <w:sz w:val="22"/>
          <w:szCs w:val="22"/>
        </w:rPr>
        <w:t xml:space="preserve">Irvine, California 92618</w:t>
      </w:r>
    </w:p>
    <w:p>
      <w:r>
        <w:rPr>
          <w:rFonts w:ascii="Open Sans" w:cs="Open Sans" w:eastAsia="Open Sans" w:hAnsi="Open Sans"/>
          <w:b/>
          <w:bCs/>
          <w:color w:val="1A1A2E"/>
          <w:sz w:val="22"/>
          <w:szCs w:val="22"/>
        </w:rPr>
        <w:t xml:space="preserve">Primary Contact: </w:t>
      </w:r>
      <w:r>
        <w:rPr>
          <w:rFonts w:ascii="Open Sans" w:cs="Open Sans" w:eastAsia="Open Sans" w:hAnsi="Open Sans"/>
          <w:color w:val="59595B"/>
          <w:sz w:val="22"/>
          <w:szCs w:val="22"/>
        </w:rPr>
        <w:t xml:space="preserve">Iris Liu</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PROJECT OVERVIEW</w:t>
      </w:r>
    </w:p>
    <w:p>
      <w:pPr>
        <w:pStyle w:val="Heading2"/>
      </w:pPr>
      <w:r>
        <w:rPr>
          <w:rFonts w:ascii="Open Sans" w:cs="Open Sans" w:eastAsia="Open Sans" w:hAnsi="Open Sans"/>
          <w:color w:val="59595B"/>
          <w:sz w:val="22"/>
          <w:szCs w:val="22"/>
        </w:rPr>
        <w:t xml:space="preserve">1.1 Project Title</w:t>
      </w:r>
    </w:p>
    <w:p>
      <w:r>
        <w:rPr>
          <w:rFonts w:ascii="Open Sans" w:cs="Open Sans" w:eastAsia="Open Sans" w:hAnsi="Open Sans"/>
          <w:color w:val="59595B"/>
          <w:sz w:val="22"/>
          <w:szCs w:val="22"/>
        </w:rPr>
        <w:t xml:space="preserve">Sophos SF V-2C4 Virtual Firewall &amp; Edge Appliance Deployment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1.2 Project Description</w:t>
      </w:r>
    </w:p>
    <w:p>
      <w:r>
        <w:rPr>
          <w:rFonts w:ascii="Open Sans" w:cs="Open Sans" w:eastAsia="Open Sans" w:hAnsi="Open Sans"/>
          <w:color w:val="59595B"/>
          <w:sz w:val="22"/>
          <w:szCs w:val="22"/>
        </w:rPr>
        <w:t xml:space="preserve">American Fundstars Financial Group LLC (“AFFG”) is a dually registered Investment Adviser (RIA) and Broker-Dealer regulated by the Securities and Exchange Commission (SEC) and the Financial Industry Regulatory Authority (FINRA). As a regulated financial institution handling nonpublic personal information (NPI), personally identifiable information (PII), and customer financial data, AFFG is subject to the following compliance frameworks, each of which mandates network-layer security controls:</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color w:val="59595B"/>
          <w:sz w:val="22"/>
          <w:szCs w:val="22"/>
        </w:rPr>
        <w:t xml:space="preserve">SEC Regulation S-P (2024 Amendments) — Privacy of Consumer Financial Information and Safeguarding Customer Information</w:t>
      </w:r>
    </w:p>
    <w:p>
      <w:pPr>
        <w:pStyle w:val="ListParagraph"/>
        <w:numPr>
          <w:ilvl w:val="0"/>
          <w:numId w:val="2"/>
        </w:numPr>
      </w:pPr>
      <w:r>
        <w:rPr>
          <w:rFonts w:ascii="Open Sans" w:cs="Open Sans" w:eastAsia="Open Sans" w:hAnsi="Open Sans"/>
          <w:color w:val="59595B"/>
          <w:sz w:val="22"/>
          <w:szCs w:val="22"/>
        </w:rPr>
        <w:t xml:space="preserve">SEC Regulation S-ID — Identity Theft Red Flag Rules</w:t>
      </w:r>
    </w:p>
    <w:p>
      <w:pPr>
        <w:pStyle w:val="ListParagraph"/>
        <w:numPr>
          <w:ilvl w:val="0"/>
          <w:numId w:val="2"/>
        </w:numPr>
      </w:pPr>
      <w:r>
        <w:rPr>
          <w:rFonts w:ascii="Open Sans" w:cs="Open Sans" w:eastAsia="Open Sans" w:hAnsi="Open Sans"/>
          <w:color w:val="59595B"/>
          <w:sz w:val="22"/>
          <w:szCs w:val="22"/>
        </w:rPr>
        <w:t xml:space="preserve">FINRA Rule 4370 — Business Continuity Plans and Emergency Contact Information</w:t>
      </w:r>
    </w:p>
    <w:p>
      <w:pPr>
        <w:pStyle w:val="ListParagraph"/>
        <w:numPr>
          <w:ilvl w:val="0"/>
          <w:numId w:val="2"/>
        </w:numPr>
      </w:pPr>
      <w:r>
        <w:rPr>
          <w:rFonts w:ascii="Open Sans" w:cs="Open Sans" w:eastAsia="Open Sans" w:hAnsi="Open Sans"/>
          <w:color w:val="59595B"/>
          <w:sz w:val="22"/>
          <w:szCs w:val="22"/>
        </w:rPr>
        <w:t xml:space="preserve">FINRA Rule 3110 — Supervision (supervisory continuity during disruptions)</w:t>
      </w:r>
    </w:p>
    <w:p>
      <w:pPr>
        <w:pStyle w:val="ListParagraph"/>
        <w:numPr>
          <w:ilvl w:val="0"/>
          <w:numId w:val="2"/>
        </w:numPr>
      </w:pPr>
      <w:r>
        <w:rPr>
          <w:rFonts w:ascii="Open Sans" w:cs="Open Sans" w:eastAsia="Open Sans" w:hAnsi="Open Sans"/>
          <w:color w:val="59595B"/>
          <w:sz w:val="22"/>
          <w:szCs w:val="22"/>
        </w:rPr>
        <w:t xml:space="preserve">FINRA Cybersecurity Guidance — Annual Regulatory and Examination Priorities</w:t>
      </w:r>
    </w:p>
    <w:p>
      <w:pPr>
        <w:pStyle w:val="ListParagraph"/>
        <w:numPr>
          <w:ilvl w:val="0"/>
          <w:numId w:val="2"/>
        </w:numPr>
      </w:pPr>
      <w:r>
        <w:rPr>
          <w:rFonts w:ascii="Open Sans" w:cs="Open Sans" w:eastAsia="Open Sans" w:hAnsi="Open Sans"/>
          <w:color w:val="59595B"/>
          <w:sz w:val="22"/>
          <w:szCs w:val="22"/>
        </w:rPr>
        <w:t xml:space="preserve">FTC Safeguards Rule (16 CFR Part 314) — Financial Institution Information Security Requirements</w:t>
      </w:r>
    </w:p>
    <w:p>
      <w:pPr>
        <w:pStyle w:val="ListParagraph"/>
        <w:numPr>
          <w:ilvl w:val="0"/>
          <w:numId w:val="2"/>
        </w:numPr>
      </w:pPr>
      <w:r>
        <w:rPr>
          <w:rFonts w:ascii="Open Sans" w:cs="Open Sans" w:eastAsia="Open Sans" w:hAnsi="Open Sans"/>
          <w:color w:val="59595B"/>
          <w:sz w:val="22"/>
          <w:szCs w:val="22"/>
        </w:rPr>
        <w:t xml:space="preserve">HIPAA Security Rule — Where AFFG handles protected health information</w:t>
      </w:r>
    </w:p>
    <w:p>
      <w:pPr>
        <w:pStyle w:val="ListParagraph"/>
        <w:numPr>
          <w:ilvl w:val="0"/>
          <w:numId w:val="2"/>
        </w:numPr>
      </w:pPr>
      <w:r>
        <w:rPr>
          <w:rFonts w:ascii="Open Sans" w:cs="Open Sans" w:eastAsia="Open Sans" w:hAnsi="Open Sans"/>
          <w:color w:val="59595B"/>
          <w:sz w:val="22"/>
          <w:szCs w:val="22"/>
        </w:rPr>
        <w:t xml:space="preserve">SOC 2 Trust Services Criteria — Service organization controls for data security</w:t>
      </w:r>
    </w:p>
    <w:p>
      <w:pPr>
        <w:pStyle w:val="ListParagraph"/>
        <w:numPr>
          <w:ilvl w:val="0"/>
          <w:numId w:val="2"/>
        </w:numPr>
      </w:pPr>
      <w:r>
        <w:rPr>
          <w:rFonts w:ascii="Open Sans" w:cs="Open Sans" w:eastAsia="Open Sans" w:hAnsi="Open Sans"/>
          <w:color w:val="59595B"/>
          <w:sz w:val="22"/>
          <w:szCs w:val="22"/>
        </w:rPr>
        <w:t xml:space="preserve">PCI-DSS 4.0 — Payment card data handling requirements</w:t>
      </w:r>
    </w:p>
    <w:p>
      <w:pPr>
        <w:pStyle w:val="ListParagraph"/>
        <w:numPr>
          <w:ilvl w:val="0"/>
          <w:numId w:val="2"/>
        </w:numPr>
      </w:pPr>
      <w:r>
        <w:rPr>
          <w:rFonts w:ascii="Open Sans" w:cs="Open Sans" w:eastAsia="Open Sans" w:hAnsi="Open Sans"/>
          <w:color w:val="59595B"/>
          <w:sz w:val="22"/>
          <w:szCs w:val="22"/>
        </w:rPr>
        <w:t xml:space="preserve">GDPR — Where applicable to EU data subjects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SOW covers the supply, deployment, configuration, and ongoing management of a Technijian-provided Edge Appliance 16GB with VMware ESXi hypervisor hosting a Sophos SF V-2C4 Virtual Firewall to establish a compliant, enterprise-grade network security perimeter for AFFG’s 15-user environment. Technijian will supply all hardware, hypervisor software, and virtual appliance licensing as a fully managed solution. This engagement directly addresses critical control requirements across all applicable compliance frameworks and closes identified gaps from AFFG’s BCP Compliance Review (March 6, 2026).</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1.3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900"/>
        <w:gridCol w:w="1560"/>
      </w:tblGrid>
      <w:tr>
        <w:tc>
          <w:tcPr>
            <w:tcW w:type="dxa" w:w="234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 Name</w:t>
            </w:r>
          </w:p>
        </w:tc>
        <w:tc>
          <w:tcPr>
            <w:tcW w:type="dxa" w:w="1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3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Address</w:t>
            </w:r>
          </w:p>
        </w:tc>
        <w:tc>
          <w:tcPr>
            <w:tcW w:type="dxa" w:w="1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Billable</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 - Primary</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AFFG-HQ</w:t>
            </w:r>
          </w:p>
        </w:tc>
        <w:tc>
          <w:tcPr>
            <w:tcW w:type="dxa" w:w="3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 Park Plaza, Ste 210, Irvine, CA 92618</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Yes</w:t>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2. COMPLIANCE JUSTIFICATION</w:t>
      </w:r>
    </w:p>
    <w:p>
      <w:r>
        <w:rPr>
          <w:rFonts w:ascii="Open Sans" w:cs="Open Sans" w:eastAsia="Open Sans" w:hAnsi="Open Sans"/>
          <w:color w:val="59595B"/>
          <w:sz w:val="22"/>
          <w:szCs w:val="22"/>
        </w:rPr>
        <w:t xml:space="preserve">As a dually registered RIA/Broker-Dealer handling customer NPI, PII, and financial data, AFFG is required by SEC, FINRA, and multiple additional regulatory frameworks to implement and maintain network security controls. The amended SEC Regulation S-P (mandatory compliance effective 2026) specifically requires covered institutions to develop, implement, and maintain written policies and procedures for detecting, responding to, and recovering from unauthorized access to customer information—including technical safeguards such as network perimeter defense.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The deployment of a next-generation firewall with intrusion prevention, encrypted traffic inspection, and centralized logging is not optional—it is a regulatory mandate. The following table maps the Sophos SF V-2C4 firewall capabilities directly to the compliance controls they satisfy: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2.1 Firewall Controls to Compliance Framework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2000"/>
        <w:gridCol w:w="1860"/>
      </w:tblGrid>
      <w:tr>
        <w:tc>
          <w:tcPr>
            <w:tcW w:type="dxa" w:w="1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Firewall Capability</w:t>
            </w:r>
          </w:p>
        </w:tc>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HIPAA</w:t>
            </w:r>
          </w:p>
        </w:tc>
        <w:tc>
          <w:tcPr>
            <w:tcW w:type="dxa" w:w="1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SOC 2 (TSC)</w:t>
            </w:r>
          </w:p>
        </w:tc>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PCI-DSS 4.0</w:t>
            </w:r>
          </w:p>
        </w:tc>
        <w:tc>
          <w:tcPr>
            <w:tcW w:type="dxa" w:w="1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GDPR</w:t>
            </w:r>
          </w:p>
        </w:tc>
      </w:tr>
      <w:tr>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Intrusion Prevention (IPS)</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§164.312(e)(1) Transmission Security</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CC6.1, CC6.6 Logical &amp; Network Access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Req 1 - Network Security Controls; Req 11 - Test Security</w:t>
            </w:r>
          </w:p>
        </w:tc>
        <w:tc>
          <w:tcPr>
            <w:tcW w:type="dxa" w:w="1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Art 32 - Security of Processing</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TLS 1.3 Encrypted Traffic Inspection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§164.312(a)(2)(iv) Encryption Mechanism</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CC6.1, CC6.7 Encryption Controls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Req 4 - Encrypt Transmissions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Art 32(1)(a) - Encryption</w:t>
            </w:r>
          </w:p>
        </w:tc>
      </w:tr>
      <w:tr>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Advanced Threat Protection &amp; Zero-Day Sandboxing</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§164.308(a)(5)(ii)(B) Malicious Software Protection</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CC6.8, CC7.1 Threat Detection</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Req 5 - Anti-Malware; Req 6.3 - Patching</w:t>
            </w:r>
          </w:p>
        </w:tc>
        <w:tc>
          <w:tcPr>
            <w:tcW w:type="dxa" w:w="1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Art 32 - Security of Processing</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Application Control (3,300+ apps)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§164.312(a)(1) Access Control</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CC6.1 Logical Access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Req 7 - Restrict Access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Art 32(1)(b) - Confidentiality</w:t>
            </w:r>
          </w:p>
        </w:tc>
      </w:tr>
      <w:tr>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Centralized Logging &amp; Reporting (Sophos Central)</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§164.312(b) Audit Controls</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CC7.1, CC7.2, CC7.3 Monitoring &amp; Detection</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Req 10 - Log &amp; Monitor Access</w:t>
            </w:r>
          </w:p>
        </w:tc>
        <w:tc>
          <w:tcPr>
            <w:tcW w:type="dxa" w:w="1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Art 32 - Security of Processing</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VPN (IPsec &amp; SSL) Encrypted Remote Access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§164.312(e)(1) Transmission Security</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CC6.1, CC6.6 Secure Access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Req 4 - Encrypt Transmissions; Req 8 - Identify Users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Art 32(1)(a) - Encryption</w:t>
            </w:r>
          </w:p>
        </w:tc>
      </w:tr>
      <w:tr>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DoS/DDoS Protection</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§164.308(a)(7) Contingency Plan</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A1.2 Recovery Objectives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Req 1 - Network Security Controls</w:t>
            </w:r>
          </w:p>
        </w:tc>
        <w:tc>
          <w:tcPr>
            <w:tcW w:type="dxa" w:w="1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Art 32(1)(c) - Availability &amp; Resilience</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Web Filtering &amp; Content Control</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§164.308(a)(1) Risk Management</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CC6.1 Logical Access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Req 1 - Network Segmentation</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Art 25 - Data Protection by Design</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2.2 SEC &amp; FINRA Requirements (AFFG-Specific)</w:t>
      </w:r>
    </w:p>
    <w:p>
      <w:r>
        <w:rPr>
          <w:rFonts w:ascii="Open Sans" w:cs="Open Sans" w:eastAsia="Open Sans" w:hAnsi="Open Sans"/>
          <w:color w:val="59595B"/>
          <w:sz w:val="22"/>
          <w:szCs w:val="22"/>
        </w:rPr>
        <w:t xml:space="preserve">As a dually registered RIA/Broker-Dealer, AFFG is directly subject to the following requirements that mandate network security controls:</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b/>
          <w:bCs/>
          <w:color w:val="1A1A2E"/>
          <w:sz w:val="22"/>
          <w:szCs w:val="22"/>
        </w:rPr>
        <w:t xml:space="preserve">SEC Regulation S-P (2024 Amendments): </w:t>
      </w:r>
      <w:r>
        <w:rPr>
          <w:rFonts w:ascii="Open Sans" w:cs="Open Sans" w:eastAsia="Open Sans" w:hAnsi="Open Sans"/>
          <w:color w:val="59595B"/>
          <w:sz w:val="22"/>
          <w:szCs w:val="22"/>
        </w:rPr>
        <w:t xml:space="preserve">The amended rule (mandatory compliance 2026) requires covered institutions to implement administrative, technical, and physical safeguards to protect customer records and NPI. Technical safeguards explicitly include network perimeter defense, encryption of data in transit, and monitoring for unauthorized access. A next-generation firewall with IPS, TLS inspection, and centralized logging directly satisfies these requirements.</w:t>
      </w:r>
    </w:p>
    <w:p>
      <w:pPr>
        <w:pStyle w:val="ListParagraph"/>
        <w:numPr>
          <w:ilvl w:val="0"/>
          <w:numId w:val="3"/>
        </w:numPr>
      </w:pPr>
      <w:r>
        <w:rPr>
          <w:rFonts w:ascii="Open Sans" w:cs="Open Sans" w:eastAsia="Open Sans" w:hAnsi="Open Sans"/>
          <w:b/>
          <w:bCs/>
          <w:color w:val="1A1A2E"/>
          <w:sz w:val="22"/>
          <w:szCs w:val="22"/>
        </w:rPr>
        <w:t xml:space="preserve">SEC Regulation S-ID: </w:t>
      </w:r>
      <w:r>
        <w:rPr>
          <w:rFonts w:ascii="Open Sans" w:cs="Open Sans" w:eastAsia="Open Sans" w:hAnsi="Open Sans"/>
          <w:color w:val="59595B"/>
          <w:sz w:val="22"/>
          <w:szCs w:val="22"/>
        </w:rPr>
        <w:t xml:space="preserve">Identity theft red-flag detection programs require monitoring and alerting capabilities. The Sophos SF V-2C4’s Advanced Threat Protection and application-level traffic analysis provide network-layer detection of anomalous activity consistent with red-flag indicators.</w:t>
      </w:r>
    </w:p>
    <w:p>
      <w:pPr>
        <w:pStyle w:val="ListParagraph"/>
        <w:numPr>
          <w:ilvl w:val="0"/>
          <w:numId w:val="4"/>
        </w:numPr>
      </w:pPr>
      <w:r>
        <w:rPr>
          <w:rFonts w:ascii="Open Sans" w:cs="Open Sans" w:eastAsia="Open Sans" w:hAnsi="Open Sans"/>
          <w:b/>
          <w:bCs/>
          <w:color w:val="1A1A2E"/>
          <w:sz w:val="22"/>
          <w:szCs w:val="22"/>
        </w:rPr>
        <w:t xml:space="preserve">FINRA Rule 4370 (BCP Requirements): </w:t>
      </w:r>
      <w:r>
        <w:rPr>
          <w:rFonts w:ascii="Open Sans" w:cs="Open Sans" w:eastAsia="Open Sans" w:hAnsi="Open Sans"/>
          <w:color w:val="59595B"/>
          <w:sz w:val="22"/>
          <w:szCs w:val="22"/>
        </w:rPr>
        <w:t xml:space="preserve">Requires identification and protection of mission-critical systems. AFFG’s BCP Compliance Review (March 6, 2026) identified significant gaps in network security controls. A properly configured firewall with DoS/DDoS protection, failover capabilities, and centralized logging is essential for business continuity of mission-critical trading and customer account systems.</w:t>
      </w:r>
    </w:p>
    <w:p>
      <w:pPr>
        <w:pStyle w:val="ListParagraph"/>
        <w:numPr>
          <w:ilvl w:val="0"/>
          <w:numId w:val="5"/>
        </w:numPr>
      </w:pPr>
      <w:r>
        <w:rPr>
          <w:rFonts w:ascii="Open Sans" w:cs="Open Sans" w:eastAsia="Open Sans" w:hAnsi="Open Sans"/>
          <w:b/>
          <w:bCs/>
          <w:color w:val="1A1A2E"/>
          <w:sz w:val="22"/>
          <w:szCs w:val="22"/>
        </w:rPr>
        <w:t xml:space="preserve">FINRA Cybersecurity Guidance: </w:t>
      </w:r>
      <w:r>
        <w:rPr>
          <w:rFonts w:ascii="Open Sans" w:cs="Open Sans" w:eastAsia="Open Sans" w:hAnsi="Open Sans"/>
          <w:color w:val="59595B"/>
          <w:sz w:val="22"/>
          <w:szCs w:val="22"/>
        </w:rPr>
        <w:t xml:space="preserve">FINRA’s annual Regulatory and Examination Priorities consistently identify network security controls—firewalls, intrusion detection, and data loss prevention—as core expectations for broker-dealers. The Sophos SF V-2C4 delivers all three in a single, centrally managed platform.</w:t>
      </w:r>
    </w:p>
    <w:p>
      <w:pPr>
        <w:pStyle w:val="ListParagraph"/>
        <w:numPr>
          <w:ilvl w:val="0"/>
          <w:numId w:val="6"/>
        </w:numPr>
      </w:pPr>
      <w:r>
        <w:rPr>
          <w:rFonts w:ascii="Open Sans" w:cs="Open Sans" w:eastAsia="Open Sans" w:hAnsi="Open Sans"/>
          <w:b/>
          <w:bCs/>
          <w:color w:val="1A1A2E"/>
          <w:sz w:val="22"/>
          <w:szCs w:val="22"/>
        </w:rPr>
        <w:t xml:space="preserve">FTC Safeguards Rule (16 CFR Part 314): </w:t>
      </w:r>
      <w:r>
        <w:rPr>
          <w:rFonts w:ascii="Open Sans" w:cs="Open Sans" w:eastAsia="Open Sans" w:hAnsi="Open Sans"/>
          <w:color w:val="59595B"/>
          <w:sz w:val="22"/>
          <w:szCs w:val="22"/>
        </w:rPr>
        <w:t xml:space="preserve">The amended 2023 requirements mandate access controls, encryption, multi-factor authentication, monitoring, and regular testing for financial institutions. The Sophos firewall’s VPN with MFA support, TLS inspection, IPS monitoring, and Sophos Central audit logging directly address these obligations.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2.3 BCP Compliance Review Findings Addressed</w:t>
      </w:r>
    </w:p>
    <w:p>
      <w:r>
        <w:rPr>
          <w:rFonts w:ascii="Open Sans" w:cs="Open Sans" w:eastAsia="Open Sans" w:hAnsi="Open Sans"/>
          <w:color w:val="59595B"/>
          <w:sz w:val="22"/>
          <w:szCs w:val="22"/>
        </w:rPr>
        <w:t xml:space="preserve">AFFG’s BCP Compliance Review (March 6, 2026) identified 3 critical, 7 high, and 9 medium findings across SEC Reg S-P and FINRA requirements. This firewall deployment directly addresses the following identified gaps:</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5460"/>
      </w:tblGrid>
      <w:tr>
        <w:tc>
          <w:tcPr>
            <w:tcW w:type="dxa" w:w="2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BCP Finding</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Severity</w:t>
            </w:r>
          </w:p>
        </w:tc>
        <w:tc>
          <w:tcPr>
            <w:tcW w:type="dxa" w:w="54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How This Deployment Addresses It</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 network perimeter defense for customer data</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CRITICAL</w:t>
            </w:r>
          </w:p>
        </w:tc>
        <w:tc>
          <w:tcPr>
            <w:tcW w:type="dxa" w:w="5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SF V-2C4 provides enterprise-grade IPS, ATP, and encrypted traffic inspection at the network boundary</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 centralized logging or audit trail for network activity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HIGH</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Central provides 30-day log retention, real-time alerting, and compliance-ready reporting</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 encrypted traffic inspection capability</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HIGH</w:t>
            </w:r>
          </w:p>
        </w:tc>
        <w:tc>
          <w:tcPr>
            <w:tcW w:type="dxa" w:w="5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TLS 1.3 inspection eliminates the largest blind spot in modern network security</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 intrusion detection/prevention system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HIGH</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IPS with continuous monitoring of all traffic including inter-VLAN and SSL/TLS decrypted scanning</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Service provider oversight gaps (network layer)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CRITICAL</w:t>
            </w:r>
          </w:p>
        </w:tc>
        <w:tc>
          <w:tcPr>
            <w:tcW w:type="dxa" w:w="5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Centralized Sophos Central management enables Technijian to provide documented oversight and 72-hour breach detection capability</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i/>
          <w:iCs/>
          <w:color w:val="59595B"/>
          <w:sz w:val="22"/>
          <w:szCs w:val="22"/>
        </w:rPr>
        <w:t xml:space="preserve">Without a properly configured next-generation firewall, AFFG cannot demonstrate compliance with SEC Reg S-P, FINRA examination expectations, or the FTC Safeguards Rule network security mandates. This deployment directly addresses Control Domain #10 (Network Security) in AFFG’s compliance control mapping and remediates critical findings from the March 2026 BCP review.</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3. SCOPE OF WORK</w:t>
      </w:r>
    </w:p>
    <w:p>
      <w:pPr>
        <w:pStyle w:val="Heading2"/>
      </w:pPr>
      <w:r>
        <w:rPr>
          <w:rFonts w:ascii="Open Sans" w:cs="Open Sans" w:eastAsia="Open Sans" w:hAnsi="Open Sans"/>
          <w:color w:val="59595B"/>
          <w:sz w:val="22"/>
          <w:szCs w:val="22"/>
        </w:rPr>
        <w:t xml:space="preserve">3.1 In Scope</w:t>
      </w:r>
    </w:p>
    <w:p>
      <w:pPr>
        <w:pStyle w:val="ListParagraph"/>
        <w:numPr>
          <w:ilvl w:val="0"/>
          <w:numId w:val="5"/>
        </w:numPr>
      </w:pPr>
      <w:r>
        <w:rPr>
          <w:rFonts w:ascii="Open Sans" w:cs="Open Sans" w:eastAsia="Open Sans" w:hAnsi="Open Sans"/>
          <w:color w:val="59595B"/>
          <w:sz w:val="22"/>
          <w:szCs w:val="22"/>
        </w:rPr>
        <w:t xml:space="preserve">Supply and deployment of Technijian-provided Edge Appliance 16GB at Client’s primary location</w:t>
      </w:r>
    </w:p>
    <w:p>
      <w:pPr>
        <w:pStyle w:val="ListParagraph"/>
        <w:numPr>
          <w:ilvl w:val="0"/>
          <w:numId w:val="5"/>
        </w:numPr>
      </w:pPr>
      <w:r>
        <w:rPr>
          <w:rFonts w:ascii="Open Sans" w:cs="Open Sans" w:eastAsia="Open Sans" w:hAnsi="Open Sans"/>
          <w:color w:val="59595B"/>
          <w:sz w:val="22"/>
          <w:szCs w:val="22"/>
        </w:rPr>
        <w:t xml:space="preserve">Installation and configuration of VMware ESXi hypervisor on the Edge Appliance</w:t>
      </w:r>
    </w:p>
    <w:p>
      <w:pPr>
        <w:pStyle w:val="ListParagraph"/>
        <w:numPr>
          <w:ilvl w:val="0"/>
          <w:numId w:val="5"/>
        </w:numPr>
      </w:pPr>
      <w:r>
        <w:rPr>
          <w:rFonts w:ascii="Open Sans" w:cs="Open Sans" w:eastAsia="Open Sans" w:hAnsi="Open Sans"/>
          <w:color w:val="59595B"/>
          <w:sz w:val="22"/>
          <w:szCs w:val="22"/>
        </w:rPr>
        <w:t xml:space="preserve">Deployment of Sophos SF V-2C4 Virtual Firewall as a virtual machine on ESXi</w:t>
      </w:r>
    </w:p>
    <w:p>
      <w:pPr>
        <w:pStyle w:val="ListParagraph"/>
        <w:numPr>
          <w:ilvl w:val="0"/>
          <w:numId w:val="5"/>
        </w:numPr>
      </w:pPr>
      <w:r>
        <w:rPr>
          <w:rFonts w:ascii="Open Sans" w:cs="Open Sans" w:eastAsia="Open Sans" w:hAnsi="Open Sans"/>
          <w:color w:val="59595B"/>
          <w:sz w:val="22"/>
          <w:szCs w:val="22"/>
        </w:rPr>
        <w:t xml:space="preserve">Xstream Protection Bundle license activation and configuration</w:t>
      </w:r>
    </w:p>
    <w:p>
      <w:pPr>
        <w:pStyle w:val="ListParagraph"/>
        <w:numPr>
          <w:ilvl w:val="0"/>
          <w:numId w:val="5"/>
        </w:numPr>
      </w:pPr>
      <w:r>
        <w:rPr>
          <w:rFonts w:ascii="Open Sans" w:cs="Open Sans" w:eastAsia="Open Sans" w:hAnsi="Open Sans"/>
          <w:color w:val="59595B"/>
          <w:sz w:val="22"/>
          <w:szCs w:val="22"/>
        </w:rPr>
        <w:t xml:space="preserve">Firewall policy creation including network segmentation, access control rules, and application filtering</w:t>
      </w:r>
    </w:p>
    <w:p>
      <w:pPr>
        <w:pStyle w:val="ListParagraph"/>
        <w:numPr>
          <w:ilvl w:val="0"/>
          <w:numId w:val="5"/>
        </w:numPr>
      </w:pPr>
      <w:r>
        <w:rPr>
          <w:rFonts w:ascii="Open Sans" w:cs="Open Sans" w:eastAsia="Open Sans" w:hAnsi="Open Sans"/>
          <w:color w:val="59595B"/>
          <w:sz w:val="22"/>
          <w:szCs w:val="22"/>
        </w:rPr>
        <w:t xml:space="preserve">Intrusion Prevention System (IPS) tuning for AFFG’s environment</w:t>
      </w:r>
    </w:p>
    <w:p>
      <w:pPr>
        <w:pStyle w:val="ListParagraph"/>
        <w:numPr>
          <w:ilvl w:val="0"/>
          <w:numId w:val="5"/>
        </w:numPr>
      </w:pPr>
      <w:r>
        <w:rPr>
          <w:rFonts w:ascii="Open Sans" w:cs="Open Sans" w:eastAsia="Open Sans" w:hAnsi="Open Sans"/>
          <w:color w:val="59595B"/>
          <w:sz w:val="22"/>
          <w:szCs w:val="22"/>
        </w:rPr>
        <w:t xml:space="preserve">TLS 1.3 inspection configuration with pre-packaged and custom policy exceptions</w:t>
      </w:r>
    </w:p>
    <w:p>
      <w:pPr>
        <w:pStyle w:val="ListParagraph"/>
        <w:numPr>
          <w:ilvl w:val="0"/>
          <w:numId w:val="5"/>
        </w:numPr>
      </w:pPr>
      <w:r>
        <w:rPr>
          <w:rFonts w:ascii="Open Sans" w:cs="Open Sans" w:eastAsia="Open Sans" w:hAnsi="Open Sans"/>
          <w:color w:val="59595B"/>
          <w:sz w:val="22"/>
          <w:szCs w:val="22"/>
        </w:rPr>
        <w:t xml:space="preserve">VPN configuration (IPsec and/or SSL) for secure remote access</w:t>
      </w:r>
    </w:p>
    <w:p>
      <w:pPr>
        <w:pStyle w:val="ListParagraph"/>
        <w:numPr>
          <w:ilvl w:val="0"/>
          <w:numId w:val="5"/>
        </w:numPr>
      </w:pPr>
      <w:r>
        <w:rPr>
          <w:rFonts w:ascii="Open Sans" w:cs="Open Sans" w:eastAsia="Open Sans" w:hAnsi="Open Sans"/>
          <w:color w:val="59595B"/>
          <w:sz w:val="22"/>
          <w:szCs w:val="22"/>
        </w:rPr>
        <w:t xml:space="preserve">Web filtering and application control policy implementation</w:t>
      </w:r>
    </w:p>
    <w:p>
      <w:pPr>
        <w:pStyle w:val="ListParagraph"/>
        <w:numPr>
          <w:ilvl w:val="0"/>
          <w:numId w:val="5"/>
        </w:numPr>
      </w:pPr>
      <w:r>
        <w:rPr>
          <w:rFonts w:ascii="Open Sans" w:cs="Open Sans" w:eastAsia="Open Sans" w:hAnsi="Open Sans"/>
          <w:color w:val="59595B"/>
          <w:sz w:val="22"/>
          <w:szCs w:val="22"/>
        </w:rPr>
        <w:t xml:space="preserve">Sophos Central cloud management platform enrollment and configuration</w:t>
      </w:r>
    </w:p>
    <w:p>
      <w:pPr>
        <w:pStyle w:val="ListParagraph"/>
        <w:numPr>
          <w:ilvl w:val="0"/>
          <w:numId w:val="5"/>
        </w:numPr>
      </w:pPr>
      <w:r>
        <w:rPr>
          <w:rFonts w:ascii="Open Sans" w:cs="Open Sans" w:eastAsia="Open Sans" w:hAnsi="Open Sans"/>
          <w:color w:val="59595B"/>
          <w:sz w:val="22"/>
          <w:szCs w:val="22"/>
        </w:rPr>
        <w:t xml:space="preserve">Integration with existing endpoint protection (Synchronized Security heartbeat if applicable)</w:t>
      </w:r>
    </w:p>
    <w:p>
      <w:pPr>
        <w:pStyle w:val="ListParagraph"/>
        <w:numPr>
          <w:ilvl w:val="0"/>
          <w:numId w:val="5"/>
        </w:numPr>
      </w:pPr>
      <w:r>
        <w:rPr>
          <w:rFonts w:ascii="Open Sans" w:cs="Open Sans" w:eastAsia="Open Sans" w:hAnsi="Open Sans"/>
          <w:color w:val="59595B"/>
          <w:sz w:val="22"/>
          <w:szCs w:val="22"/>
        </w:rPr>
        <w:t xml:space="preserve">30-day log retention configuration and centralized reporting setup</w:t>
      </w:r>
    </w:p>
    <w:p>
      <w:pPr>
        <w:pStyle w:val="ListParagraph"/>
        <w:numPr>
          <w:ilvl w:val="0"/>
          <w:numId w:val="5"/>
        </w:numPr>
      </w:pPr>
      <w:r>
        <w:rPr>
          <w:rFonts w:ascii="Open Sans" w:cs="Open Sans" w:eastAsia="Open Sans" w:hAnsi="Open Sans"/>
          <w:color w:val="59595B"/>
          <w:sz w:val="22"/>
          <w:szCs w:val="22"/>
        </w:rPr>
        <w:t xml:space="preserve">Post-deployment validation and compliance documentation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3.2 Out of Scope</w:t>
      </w:r>
    </w:p>
    <w:p>
      <w:pPr>
        <w:pStyle w:val="ListParagraph"/>
        <w:numPr>
          <w:ilvl w:val="0"/>
          <w:numId w:val="6"/>
        </w:numPr>
      </w:pPr>
      <w:r>
        <w:rPr>
          <w:rFonts w:ascii="Open Sans" w:cs="Open Sans" w:eastAsia="Open Sans" w:hAnsi="Open Sans"/>
          <w:color w:val="59595B"/>
          <w:sz w:val="22"/>
          <w:szCs w:val="22"/>
        </w:rPr>
        <w:t xml:space="preserve">Desktop or workstation configuration changes beyond VPN client deployment</w:t>
      </w:r>
    </w:p>
    <w:p>
      <w:pPr>
        <w:pStyle w:val="ListParagraph"/>
        <w:numPr>
          <w:ilvl w:val="0"/>
          <w:numId w:val="6"/>
        </w:numPr>
      </w:pPr>
      <w:r>
        <w:rPr>
          <w:rFonts w:ascii="Open Sans" w:cs="Open Sans" w:eastAsia="Open Sans" w:hAnsi="Open Sans"/>
          <w:color w:val="59595B"/>
          <w:sz w:val="22"/>
          <w:szCs w:val="22"/>
        </w:rPr>
        <w:t xml:space="preserve">Email security configuration (covered under separate Anti-Spam services)</w:t>
      </w:r>
    </w:p>
    <w:p>
      <w:pPr>
        <w:pStyle w:val="ListParagraph"/>
        <w:numPr>
          <w:ilvl w:val="0"/>
          <w:numId w:val="6"/>
        </w:numPr>
      </w:pPr>
      <w:r>
        <w:rPr>
          <w:rFonts w:ascii="Open Sans" w:cs="Open Sans" w:eastAsia="Open Sans" w:hAnsi="Open Sans"/>
          <w:color w:val="59595B"/>
          <w:sz w:val="22"/>
          <w:szCs w:val="22"/>
        </w:rPr>
        <w:t xml:space="preserve">Physical network cabling or infrastructure upgrades at Client’s site</w:t>
      </w:r>
    </w:p>
    <w:p>
      <w:pPr>
        <w:pStyle w:val="ListParagraph"/>
        <w:numPr>
          <w:ilvl w:val="0"/>
          <w:numId w:val="6"/>
        </w:numPr>
      </w:pPr>
      <w:r>
        <w:rPr>
          <w:rFonts w:ascii="Open Sans" w:cs="Open Sans" w:eastAsia="Open Sans" w:hAnsi="Open Sans"/>
          <w:color w:val="59595B"/>
          <w:sz w:val="22"/>
          <w:szCs w:val="22"/>
        </w:rPr>
        <w:t xml:space="preserve">Third-party vendor coordination for ISP or circuit changes</w:t>
      </w:r>
    </w:p>
    <w:p>
      <w:pPr>
        <w:pStyle w:val="ListParagraph"/>
        <w:numPr>
          <w:ilvl w:val="0"/>
          <w:numId w:val="6"/>
        </w:numPr>
      </w:pPr>
      <w:r>
        <w:rPr>
          <w:rFonts w:ascii="Open Sans" w:cs="Open Sans" w:eastAsia="Open Sans" w:hAnsi="Open Sans"/>
          <w:color w:val="59595B"/>
          <w:sz w:val="22"/>
          <w:szCs w:val="22"/>
        </w:rPr>
        <w:t xml:space="preserve">Endpoint security agent deployment (covered under separate SOW or managed services agreement)</w:t>
      </w:r>
    </w:p>
    <w:p>
      <w:pPr>
        <w:pStyle w:val="ListParagraph"/>
        <w:numPr>
          <w:ilvl w:val="0"/>
          <w:numId w:val="6"/>
        </w:numPr>
      </w:pPr>
      <w:r>
        <w:rPr>
          <w:rFonts w:ascii="Open Sans" w:cs="Open Sans" w:eastAsia="Open Sans" w:hAnsi="Open Sans"/>
          <w:color w:val="59595B"/>
          <w:sz w:val="22"/>
          <w:szCs w:val="22"/>
        </w:rPr>
        <w:t xml:space="preserve">Compliance audit documentation beyond firewall-specific evidence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3.3 Assumptions</w:t>
      </w:r>
    </w:p>
    <w:p>
      <w:pPr>
        <w:pStyle w:val="ListParagraph"/>
        <w:numPr>
          <w:ilvl w:val="0"/>
          <w:numId w:val="7"/>
        </w:numPr>
      </w:pPr>
      <w:r>
        <w:rPr>
          <w:rFonts w:ascii="Open Sans" w:cs="Open Sans" w:eastAsia="Open Sans" w:hAnsi="Open Sans"/>
          <w:color w:val="59595B"/>
          <w:sz w:val="22"/>
          <w:szCs w:val="22"/>
        </w:rPr>
        <w:t xml:space="preserve">Technijian will supply the Edge Appliance 16GB hardware and VMware ESXi hypervisor; no existing client hypervisor infrastructure is required</w:t>
      </w:r>
    </w:p>
    <w:p>
      <w:pPr>
        <w:pStyle w:val="ListParagraph"/>
        <w:numPr>
          <w:ilvl w:val="0"/>
          <w:numId w:val="7"/>
        </w:numPr>
      </w:pPr>
      <w:r>
        <w:rPr>
          <w:rFonts w:ascii="Open Sans" w:cs="Open Sans" w:eastAsia="Open Sans" w:hAnsi="Open Sans"/>
          <w:color w:val="59595B"/>
          <w:sz w:val="22"/>
          <w:szCs w:val="22"/>
        </w:rPr>
        <w:t xml:space="preserve">Client will designate a point of contact authorized to approve firewall policy decisions</w:t>
      </w:r>
    </w:p>
    <w:p>
      <w:pPr>
        <w:pStyle w:val="ListParagraph"/>
        <w:numPr>
          <w:ilvl w:val="0"/>
          <w:numId w:val="7"/>
        </w:numPr>
      </w:pPr>
      <w:r>
        <w:rPr>
          <w:rFonts w:ascii="Open Sans" w:cs="Open Sans" w:eastAsia="Open Sans" w:hAnsi="Open Sans"/>
          <w:color w:val="59595B"/>
          <w:sz w:val="22"/>
          <w:szCs w:val="22"/>
        </w:rPr>
        <w:t xml:space="preserve">Existing network topology documentation will be provided or discovered during Phase 1</w:t>
      </w:r>
    </w:p>
    <w:p>
      <w:pPr>
        <w:pStyle w:val="ListParagraph"/>
        <w:numPr>
          <w:ilvl w:val="0"/>
          <w:numId w:val="7"/>
        </w:numPr>
      </w:pPr>
      <w:r>
        <w:rPr>
          <w:rFonts w:ascii="Open Sans" w:cs="Open Sans" w:eastAsia="Open Sans" w:hAnsi="Open Sans"/>
          <w:color w:val="59595B"/>
          <w:sz w:val="22"/>
          <w:szCs w:val="22"/>
        </w:rPr>
        <w:t xml:space="preserve">Work will be performed remotely unless on-site presence is specifically required</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4. PROJECT PHASES</w:t>
      </w:r>
    </w:p>
    <w:p>
      <w:pPr>
        <w:pStyle w:val="Heading2"/>
      </w:pPr>
      <w:r>
        <w:rPr>
          <w:rFonts w:ascii="Open Sans" w:cs="Open Sans" w:eastAsia="Open Sans" w:hAnsi="Open Sans"/>
          <w:color w:val="59595B"/>
          <w:sz w:val="22"/>
          <w:szCs w:val="22"/>
        </w:rPr>
        <w:t xml:space="preserve">Phase 1: Discovery &amp; Assessment</w:t>
      </w:r>
    </w:p>
    <w:p>
      <w:pPr>
        <w:pStyle w:val="Heading3"/>
      </w:pPr>
      <w:r>
        <w:rPr>
          <w:rFonts w:ascii="Open Sans" w:cs="Open Sans" w:eastAsia="Open Sans" w:hAnsi="Open Sans"/>
          <w:color w:val="59595B"/>
          <w:sz w:val="22"/>
          <w:szCs w:val="22"/>
        </w:rPr>
        <w:t xml:space="preserve">4.1.1 Description</w:t>
      </w:r>
    </w:p>
    <w:p>
      <w:r>
        <w:rPr>
          <w:rFonts w:ascii="Open Sans" w:cs="Open Sans" w:eastAsia="Open Sans" w:hAnsi="Open Sans"/>
          <w:color w:val="59595B"/>
          <w:sz w:val="22"/>
          <w:szCs w:val="22"/>
        </w:rPr>
        <w:t xml:space="preserve">Comprehensive assessment of AFFG’s current network environment, virtual infrastructure resources, internet connectivity, existing security posture, and compliance requirements. This phase produces the network design document that governs all subsequent configuration.</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4.1.2 Deliverables</w:t>
      </w:r>
    </w:p>
    <w:p>
      <w:pPr>
        <w:pStyle w:val="ListParagraph"/>
        <w:numPr>
          <w:ilvl w:val="0"/>
          <w:numId w:val="8"/>
        </w:numPr>
      </w:pPr>
      <w:r>
        <w:rPr>
          <w:rFonts w:ascii="Open Sans" w:cs="Open Sans" w:eastAsia="Open Sans" w:hAnsi="Open Sans"/>
          <w:color w:val="59595B"/>
          <w:sz w:val="22"/>
          <w:szCs w:val="22"/>
        </w:rPr>
        <w:t xml:space="preserve">Network topology assessment and documentation</w:t>
      </w:r>
    </w:p>
    <w:p>
      <w:pPr>
        <w:pStyle w:val="ListParagraph"/>
        <w:numPr>
          <w:ilvl w:val="0"/>
          <w:numId w:val="8"/>
        </w:numPr>
      </w:pPr>
      <w:r>
        <w:rPr>
          <w:rFonts w:ascii="Open Sans" w:cs="Open Sans" w:eastAsia="Open Sans" w:hAnsi="Open Sans"/>
          <w:color w:val="59595B"/>
          <w:sz w:val="22"/>
          <w:szCs w:val="22"/>
        </w:rPr>
        <w:t xml:space="preserve">Virtual infrastructure resource validation report</w:t>
      </w:r>
    </w:p>
    <w:p>
      <w:pPr>
        <w:pStyle w:val="ListParagraph"/>
        <w:numPr>
          <w:ilvl w:val="0"/>
          <w:numId w:val="8"/>
        </w:numPr>
      </w:pPr>
      <w:r>
        <w:rPr>
          <w:rFonts w:ascii="Open Sans" w:cs="Open Sans" w:eastAsia="Open Sans" w:hAnsi="Open Sans"/>
          <w:color w:val="59595B"/>
          <w:sz w:val="22"/>
          <w:szCs w:val="22"/>
        </w:rPr>
        <w:t xml:space="preserve">Firewall policy design document (access rules, VPN, IPS, web filtering)</w:t>
      </w:r>
    </w:p>
    <w:p>
      <w:pPr>
        <w:pStyle w:val="ListParagraph"/>
        <w:numPr>
          <w:ilvl w:val="0"/>
          <w:numId w:val="8"/>
        </w:numPr>
      </w:pPr>
      <w:r>
        <w:rPr>
          <w:rFonts w:ascii="Open Sans" w:cs="Open Sans" w:eastAsia="Open Sans" w:hAnsi="Open Sans"/>
          <w:color w:val="59595B"/>
          <w:sz w:val="22"/>
          <w:szCs w:val="22"/>
        </w:rPr>
        <w:t xml:space="preserve">Compliance control mapping worksheet (firewall controls to AFFG frameworks)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4.1.3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300"/>
        <w:gridCol w:w="1180"/>
        <w:gridCol w:w="118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c>
          <w:tcPr>
            <w:tcW w:type="dxa" w:w="3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Network discovery and topology assessment</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Documentation and compliance control mapping</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1 Total</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5</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2: ESXi &amp; Firewall Deployment</w:t>
      </w:r>
    </w:p>
    <w:p>
      <w:pPr>
        <w:pStyle w:val="Heading3"/>
      </w:pPr>
      <w:r>
        <w:rPr>
          <w:rFonts w:ascii="Open Sans" w:cs="Open Sans" w:eastAsia="Open Sans" w:hAnsi="Open Sans"/>
          <w:color w:val="59595B"/>
          <w:sz w:val="22"/>
          <w:szCs w:val="22"/>
        </w:rPr>
        <w:t xml:space="preserve">4.2.1 Description</w:t>
      </w:r>
    </w:p>
    <w:p>
      <w:r>
        <w:rPr>
          <w:rFonts w:ascii="Open Sans" w:cs="Open Sans" w:eastAsia="Open Sans" w:hAnsi="Open Sans"/>
          <w:color w:val="59595B"/>
          <w:sz w:val="22"/>
          <w:szCs w:val="22"/>
        </w:rPr>
        <w:t xml:space="preserve">Install and configure VMware ESXi hypervisor on the Edge Appliance 16GB, deploy the Sophos SF V-2C4 virtual firewall as a VM on ESXi, activate the Xstream Protection Bundle license, and perform base configuration including network interfaces, DNS, NTP, DHCP (if applicable), and Sophos Central enrollment.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4.2.2 Deliverables</w:t>
      </w:r>
    </w:p>
    <w:p>
      <w:pPr>
        <w:pStyle w:val="ListParagraph"/>
        <w:numPr>
          <w:ilvl w:val="0"/>
          <w:numId w:val="9"/>
        </w:numPr>
      </w:pPr>
      <w:r>
        <w:rPr>
          <w:rFonts w:ascii="Open Sans" w:cs="Open Sans" w:eastAsia="Open Sans" w:hAnsi="Open Sans"/>
          <w:color w:val="59595B"/>
          <w:sz w:val="22"/>
          <w:szCs w:val="22"/>
        </w:rPr>
        <w:t xml:space="preserve">VMware ESXi installed, configured, and operational on Edge Appliance 16GB</w:t>
      </w:r>
    </w:p>
    <w:p>
      <w:pPr>
        <w:pStyle w:val="ListParagraph"/>
        <w:numPr>
          <w:ilvl w:val="0"/>
          <w:numId w:val="9"/>
        </w:numPr>
      </w:pPr>
      <w:r>
        <w:rPr>
          <w:rFonts w:ascii="Open Sans" w:cs="Open Sans" w:eastAsia="Open Sans" w:hAnsi="Open Sans"/>
          <w:color w:val="59595B"/>
          <w:sz w:val="22"/>
          <w:szCs w:val="22"/>
        </w:rPr>
        <w:t xml:space="preserve">Sophos SF V-2C4 deployed as VM on ESXi with allocated resources (2 vCPU, 4 GB RAM)</w:t>
      </w:r>
    </w:p>
    <w:p>
      <w:pPr>
        <w:pStyle w:val="ListParagraph"/>
        <w:numPr>
          <w:ilvl w:val="0"/>
          <w:numId w:val="9"/>
        </w:numPr>
      </w:pPr>
      <w:r>
        <w:rPr>
          <w:rFonts w:ascii="Open Sans" w:cs="Open Sans" w:eastAsia="Open Sans" w:hAnsi="Open Sans"/>
          <w:color w:val="59595B"/>
          <w:sz w:val="22"/>
          <w:szCs w:val="22"/>
        </w:rPr>
        <w:t xml:space="preserve">Xstream Protection Bundle activated</w:t>
      </w:r>
    </w:p>
    <w:p>
      <w:pPr>
        <w:pStyle w:val="ListParagraph"/>
        <w:numPr>
          <w:ilvl w:val="0"/>
          <w:numId w:val="9"/>
        </w:numPr>
      </w:pPr>
      <w:r>
        <w:rPr>
          <w:rFonts w:ascii="Open Sans" w:cs="Open Sans" w:eastAsia="Open Sans" w:hAnsi="Open Sans"/>
          <w:color w:val="59595B"/>
          <w:sz w:val="22"/>
          <w:szCs w:val="22"/>
        </w:rPr>
        <w:t xml:space="preserve">Base network configuration (virtual switches, interfaces, routing, NAT)</w:t>
      </w:r>
    </w:p>
    <w:p>
      <w:pPr>
        <w:pStyle w:val="ListParagraph"/>
        <w:numPr>
          <w:ilvl w:val="0"/>
          <w:numId w:val="9"/>
        </w:numPr>
      </w:pPr>
      <w:r>
        <w:rPr>
          <w:rFonts w:ascii="Open Sans" w:cs="Open Sans" w:eastAsia="Open Sans" w:hAnsi="Open Sans"/>
          <w:color w:val="59595B"/>
          <w:sz w:val="22"/>
          <w:szCs w:val="22"/>
        </w:rPr>
        <w:t xml:space="preserve">Sophos Central cloud management enrolled and verified</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4.2.3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300"/>
        <w:gridCol w:w="1180"/>
        <w:gridCol w:w="118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c>
          <w:tcPr>
            <w:tcW w:type="dxa" w:w="3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ESXi installation and hypervisor configuration</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VM deployment and network configuration</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License activation and Sophos Central enrollment</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Configuration documentation</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2 Total</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5</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3: Edge Appliance Physical Installation &amp; Network Integration</w:t>
      </w:r>
    </w:p>
    <w:p>
      <w:pPr>
        <w:pStyle w:val="Heading3"/>
      </w:pPr>
      <w:r>
        <w:rPr>
          <w:rFonts w:ascii="Open Sans" w:cs="Open Sans" w:eastAsia="Open Sans" w:hAnsi="Open Sans"/>
          <w:color w:val="59595B"/>
          <w:sz w:val="22"/>
          <w:szCs w:val="22"/>
        </w:rPr>
        <w:t xml:space="preserve">4.3.1 Description</w:t>
      </w:r>
    </w:p>
    <w:p>
      <w:r>
        <w:rPr>
          <w:rFonts w:ascii="Open Sans" w:cs="Open Sans" w:eastAsia="Open Sans" w:hAnsi="Open Sans"/>
          <w:color w:val="59595B"/>
          <w:sz w:val="22"/>
          <w:szCs w:val="22"/>
        </w:rPr>
        <w:t xml:space="preserve">Technijian will supply, deliver, and physically install the Edge Appliance 16GB at the Client’s primary location. This Technijian-provided appliance serves as the dedicated hardware platform hosting the ESXi hypervisor and Sophos virtual firewall, providing the physical network edge that ensures all Client traffic passes through the Sophos security inspection engine.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4.3.2 Deliverables</w:t>
      </w:r>
    </w:p>
    <w:p>
      <w:pPr>
        <w:pStyle w:val="ListParagraph"/>
        <w:numPr>
          <w:ilvl w:val="0"/>
          <w:numId w:val="10"/>
        </w:numPr>
      </w:pPr>
      <w:r>
        <w:rPr>
          <w:rFonts w:ascii="Open Sans" w:cs="Open Sans" w:eastAsia="Open Sans" w:hAnsi="Open Sans"/>
          <w:color w:val="59595B"/>
          <w:sz w:val="22"/>
          <w:szCs w:val="22"/>
        </w:rPr>
        <w:t xml:space="preserve">Technijian-supplied Edge Appliance 16GB physically delivered, racked, and powered on</w:t>
      </w:r>
    </w:p>
    <w:p>
      <w:pPr>
        <w:pStyle w:val="ListParagraph"/>
        <w:numPr>
          <w:ilvl w:val="0"/>
          <w:numId w:val="10"/>
        </w:numPr>
      </w:pPr>
      <w:r>
        <w:rPr>
          <w:rFonts w:ascii="Open Sans" w:cs="Open Sans" w:eastAsia="Open Sans" w:hAnsi="Open Sans"/>
          <w:color w:val="59595B"/>
          <w:sz w:val="22"/>
          <w:szCs w:val="22"/>
        </w:rPr>
        <w:t xml:space="preserve">Physical network cabling integrated with Client’s existing switch/router infrastructure</w:t>
      </w:r>
    </w:p>
    <w:p>
      <w:pPr>
        <w:pStyle w:val="ListParagraph"/>
        <w:numPr>
          <w:ilvl w:val="0"/>
          <w:numId w:val="10"/>
        </w:numPr>
      </w:pPr>
      <w:r>
        <w:rPr>
          <w:rFonts w:ascii="Open Sans" w:cs="Open Sans" w:eastAsia="Open Sans" w:hAnsi="Open Sans"/>
          <w:color w:val="59595B"/>
          <w:sz w:val="22"/>
          <w:szCs w:val="22"/>
        </w:rPr>
        <w:t xml:space="preserve">WAN and LAN connectivity validated through ESXi virtual switches to Sophos firewall</w:t>
      </w:r>
    </w:p>
    <w:p>
      <w:pPr>
        <w:pStyle w:val="ListParagraph"/>
        <w:numPr>
          <w:ilvl w:val="0"/>
          <w:numId w:val="10"/>
        </w:numPr>
      </w:pPr>
      <w:r>
        <w:rPr>
          <w:rFonts w:ascii="Open Sans" w:cs="Open Sans" w:eastAsia="Open Sans" w:hAnsi="Open Sans"/>
          <w:color w:val="59595B"/>
          <w:sz w:val="22"/>
          <w:szCs w:val="22"/>
        </w:rPr>
        <w:t xml:space="preserve">Traffic routing validated end-to-end through firewall inspection path</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4.3.3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300"/>
        <w:gridCol w:w="1180"/>
        <w:gridCol w:w="118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c>
          <w:tcPr>
            <w:tcW w:type="dxa" w:w="3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Edge appliance delivery, rack mounting, and physical cabling</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WAN/LAN integration and end-to-end traffic path validation</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3 Total</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4: Security Policy &amp; Compliance Configuration</w:t>
      </w:r>
    </w:p>
    <w:p>
      <w:pPr>
        <w:pStyle w:val="Heading3"/>
      </w:pPr>
      <w:r>
        <w:rPr>
          <w:rFonts w:ascii="Open Sans" w:cs="Open Sans" w:eastAsia="Open Sans" w:hAnsi="Open Sans"/>
          <w:color w:val="59595B"/>
          <w:sz w:val="22"/>
          <w:szCs w:val="22"/>
        </w:rPr>
        <w:t xml:space="preserve">4.4.1 Description</w:t>
      </w:r>
    </w:p>
    <w:p>
      <w:r>
        <w:rPr>
          <w:rFonts w:ascii="Open Sans" w:cs="Open Sans" w:eastAsia="Open Sans" w:hAnsi="Open Sans"/>
          <w:color w:val="59595B"/>
          <w:sz w:val="22"/>
          <w:szCs w:val="22"/>
        </w:rPr>
        <w:t xml:space="preserve">Configure all security policies aligned to AFFG’s compliance requirements. This is the critical phase where regulatory control requirements are translated into firewall rules, IPS signatures, TLS inspection policies, application control rules, and web filtering policies.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4.4.2 Deliverables</w:t>
      </w:r>
    </w:p>
    <w:p>
      <w:pPr>
        <w:pStyle w:val="ListParagraph"/>
        <w:numPr>
          <w:ilvl w:val="0"/>
          <w:numId w:val="11"/>
        </w:numPr>
      </w:pPr>
      <w:r>
        <w:rPr>
          <w:rFonts w:ascii="Open Sans" w:cs="Open Sans" w:eastAsia="Open Sans" w:hAnsi="Open Sans"/>
          <w:color w:val="59595B"/>
          <w:sz w:val="22"/>
          <w:szCs w:val="22"/>
        </w:rPr>
        <w:t xml:space="preserve">Firewall access control rules (ingress/egress) per compliance policy design</w:t>
      </w:r>
    </w:p>
    <w:p>
      <w:pPr>
        <w:pStyle w:val="ListParagraph"/>
        <w:numPr>
          <w:ilvl w:val="0"/>
          <w:numId w:val="11"/>
        </w:numPr>
      </w:pPr>
      <w:r>
        <w:rPr>
          <w:rFonts w:ascii="Open Sans" w:cs="Open Sans" w:eastAsia="Open Sans" w:hAnsi="Open Sans"/>
          <w:color w:val="59595B"/>
          <w:sz w:val="22"/>
          <w:szCs w:val="22"/>
        </w:rPr>
        <w:t xml:space="preserve">Intrusion Prevention System (IPS) signatures enabled and tuned</w:t>
      </w:r>
    </w:p>
    <w:p>
      <w:pPr>
        <w:pStyle w:val="ListParagraph"/>
        <w:numPr>
          <w:ilvl w:val="0"/>
          <w:numId w:val="11"/>
        </w:numPr>
      </w:pPr>
      <w:r>
        <w:rPr>
          <w:rFonts w:ascii="Open Sans" w:cs="Open Sans" w:eastAsia="Open Sans" w:hAnsi="Open Sans"/>
          <w:color w:val="59595B"/>
          <w:sz w:val="22"/>
          <w:szCs w:val="22"/>
        </w:rPr>
        <w:t xml:space="preserve">TLS 1.3 inspection enabled with appropriate exceptions</w:t>
      </w:r>
    </w:p>
    <w:p>
      <w:pPr>
        <w:pStyle w:val="ListParagraph"/>
        <w:numPr>
          <w:ilvl w:val="0"/>
          <w:numId w:val="11"/>
        </w:numPr>
      </w:pPr>
      <w:r>
        <w:rPr>
          <w:rFonts w:ascii="Open Sans" w:cs="Open Sans" w:eastAsia="Open Sans" w:hAnsi="Open Sans"/>
          <w:color w:val="59595B"/>
          <w:sz w:val="22"/>
          <w:szCs w:val="22"/>
        </w:rPr>
        <w:t xml:space="preserve">Application control policies (3,300+ application signatures)</w:t>
      </w:r>
    </w:p>
    <w:p>
      <w:pPr>
        <w:pStyle w:val="ListParagraph"/>
        <w:numPr>
          <w:ilvl w:val="0"/>
          <w:numId w:val="11"/>
        </w:numPr>
      </w:pPr>
      <w:r>
        <w:rPr>
          <w:rFonts w:ascii="Open Sans" w:cs="Open Sans" w:eastAsia="Open Sans" w:hAnsi="Open Sans"/>
          <w:color w:val="59595B"/>
          <w:sz w:val="22"/>
          <w:szCs w:val="22"/>
        </w:rPr>
        <w:t xml:space="preserve">Web filtering categories configured per acceptable use policy</w:t>
      </w:r>
    </w:p>
    <w:p>
      <w:pPr>
        <w:pStyle w:val="ListParagraph"/>
        <w:numPr>
          <w:ilvl w:val="0"/>
          <w:numId w:val="11"/>
        </w:numPr>
      </w:pPr>
      <w:r>
        <w:rPr>
          <w:rFonts w:ascii="Open Sans" w:cs="Open Sans" w:eastAsia="Open Sans" w:hAnsi="Open Sans"/>
          <w:color w:val="59595B"/>
          <w:sz w:val="22"/>
          <w:szCs w:val="22"/>
        </w:rPr>
        <w:t xml:space="preserve">VPN configuration for secure remote access (IPsec/SSL)</w:t>
      </w:r>
    </w:p>
    <w:p>
      <w:pPr>
        <w:pStyle w:val="ListParagraph"/>
        <w:numPr>
          <w:ilvl w:val="0"/>
          <w:numId w:val="11"/>
        </w:numPr>
      </w:pPr>
      <w:r>
        <w:rPr>
          <w:rFonts w:ascii="Open Sans" w:cs="Open Sans" w:eastAsia="Open Sans" w:hAnsi="Open Sans"/>
          <w:color w:val="59595B"/>
          <w:sz w:val="22"/>
          <w:szCs w:val="22"/>
        </w:rPr>
        <w:t xml:space="preserve">DoS/DDoS protection thresholds configured</w:t>
      </w:r>
    </w:p>
    <w:p>
      <w:pPr>
        <w:pStyle w:val="ListParagraph"/>
        <w:numPr>
          <w:ilvl w:val="0"/>
          <w:numId w:val="11"/>
        </w:numPr>
      </w:pPr>
      <w:r>
        <w:rPr>
          <w:rFonts w:ascii="Open Sans" w:cs="Open Sans" w:eastAsia="Open Sans" w:hAnsi="Open Sans"/>
          <w:color w:val="59595B"/>
          <w:sz w:val="22"/>
          <w:szCs w:val="22"/>
        </w:rPr>
        <w:t xml:space="preserve">Xstream SD-WAN SLA policies (if applicable)</w:t>
      </w:r>
    </w:p>
    <w:p>
      <w:pPr>
        <w:pStyle w:val="ListParagraph"/>
        <w:numPr>
          <w:ilvl w:val="0"/>
          <w:numId w:val="11"/>
        </w:numPr>
      </w:pPr>
      <w:r>
        <w:rPr>
          <w:rFonts w:ascii="Open Sans" w:cs="Open Sans" w:eastAsia="Open Sans" w:hAnsi="Open Sans"/>
          <w:color w:val="59595B"/>
          <w:sz w:val="22"/>
          <w:szCs w:val="22"/>
        </w:rPr>
        <w:t xml:space="preserve">Audit logging enabled and verified in Sophos Central (30-day retention)</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4.4.3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300"/>
        <w:gridCol w:w="1180"/>
        <w:gridCol w:w="118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c>
          <w:tcPr>
            <w:tcW w:type="dxa" w:w="3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Access control rules and network segmentation</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IPS tuning and threat protection configuration</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VPN setup and remote access configuration</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TLS inspection, app control, and web filtering</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3-4</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Logging, reporting, and audit trail verification</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4 Total</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10</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5: Testing, Validation &amp; Go-Live</w:t>
      </w:r>
    </w:p>
    <w:p>
      <w:pPr>
        <w:pStyle w:val="Heading3"/>
      </w:pPr>
      <w:r>
        <w:rPr>
          <w:rFonts w:ascii="Open Sans" w:cs="Open Sans" w:eastAsia="Open Sans" w:hAnsi="Open Sans"/>
          <w:color w:val="59595B"/>
          <w:sz w:val="22"/>
          <w:szCs w:val="22"/>
        </w:rPr>
        <w:t xml:space="preserve">4.5.1 Description</w:t>
      </w:r>
    </w:p>
    <w:p>
      <w:r>
        <w:rPr>
          <w:rFonts w:ascii="Open Sans" w:cs="Open Sans" w:eastAsia="Open Sans" w:hAnsi="Open Sans"/>
          <w:color w:val="59595B"/>
          <w:sz w:val="22"/>
          <w:szCs w:val="22"/>
        </w:rPr>
        <w:t xml:space="preserve">End-to-end testing of all firewall functions including traffic inspection, IPS detection, VPN connectivity, application filtering, and centralized logging. Coordinated production cutover with minimal disruption to Client operations.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4.5.2 Deliverables</w:t>
      </w:r>
    </w:p>
    <w:p>
      <w:pPr>
        <w:pStyle w:val="ListParagraph"/>
        <w:numPr>
          <w:ilvl w:val="0"/>
          <w:numId w:val="2"/>
        </w:numPr>
      </w:pPr>
      <w:r>
        <w:rPr>
          <w:rFonts w:ascii="Open Sans" w:cs="Open Sans" w:eastAsia="Open Sans" w:hAnsi="Open Sans"/>
          <w:color w:val="59595B"/>
          <w:sz w:val="22"/>
          <w:szCs w:val="22"/>
        </w:rPr>
        <w:t xml:space="preserve">Functional test results for all security features</w:t>
      </w:r>
    </w:p>
    <w:p>
      <w:pPr>
        <w:pStyle w:val="ListParagraph"/>
        <w:numPr>
          <w:ilvl w:val="0"/>
          <w:numId w:val="2"/>
        </w:numPr>
      </w:pPr>
      <w:r>
        <w:rPr>
          <w:rFonts w:ascii="Open Sans" w:cs="Open Sans" w:eastAsia="Open Sans" w:hAnsi="Open Sans"/>
          <w:color w:val="59595B"/>
          <w:sz w:val="22"/>
          <w:szCs w:val="22"/>
        </w:rPr>
        <w:t xml:space="preserve">VPN connectivity validation from remote locations</w:t>
      </w:r>
    </w:p>
    <w:p>
      <w:pPr>
        <w:pStyle w:val="ListParagraph"/>
        <w:numPr>
          <w:ilvl w:val="0"/>
          <w:numId w:val="2"/>
        </w:numPr>
      </w:pPr>
      <w:r>
        <w:rPr>
          <w:rFonts w:ascii="Open Sans" w:cs="Open Sans" w:eastAsia="Open Sans" w:hAnsi="Open Sans"/>
          <w:color w:val="59595B"/>
          <w:sz w:val="22"/>
          <w:szCs w:val="22"/>
        </w:rPr>
        <w:t xml:space="preserve">Compliance evidence package (firewall rule export, IPS configuration, logging screenshots)</w:t>
      </w:r>
    </w:p>
    <w:p>
      <w:pPr>
        <w:pStyle w:val="ListParagraph"/>
        <w:numPr>
          <w:ilvl w:val="0"/>
          <w:numId w:val="2"/>
        </w:numPr>
      </w:pPr>
      <w:r>
        <w:rPr>
          <w:rFonts w:ascii="Open Sans" w:cs="Open Sans" w:eastAsia="Open Sans" w:hAnsi="Open Sans"/>
          <w:color w:val="59595B"/>
          <w:sz w:val="22"/>
          <w:szCs w:val="22"/>
        </w:rPr>
        <w:t xml:space="preserve">Production cutover completed</w:t>
      </w:r>
    </w:p>
    <w:p>
      <w:pPr>
        <w:pStyle w:val="ListParagraph"/>
        <w:numPr>
          <w:ilvl w:val="0"/>
          <w:numId w:val="2"/>
        </w:numPr>
      </w:pPr>
      <w:r>
        <w:rPr>
          <w:rFonts w:ascii="Open Sans" w:cs="Open Sans" w:eastAsia="Open Sans" w:hAnsi="Open Sans"/>
          <w:color w:val="59595B"/>
          <w:sz w:val="22"/>
          <w:szCs w:val="22"/>
        </w:rPr>
        <w:t xml:space="preserve">Post-cutover monitoring (first 48 hours)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4.5.3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300"/>
        <w:gridCol w:w="1180"/>
        <w:gridCol w:w="118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c>
          <w:tcPr>
            <w:tcW w:type="dxa" w:w="3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1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Production cutover and post-cutover monitoring</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5</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End-to-end security feature testing</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4-5</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w:t>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Functional testing and VPN validation</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4-5</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Compliance evidence package assembly</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5</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5 Total</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8</w:t>
            </w:r>
          </w:p>
        </w:tc>
        <w:tc>
          <w:tcPr>
            <w:tcW w:type="dxa" w:w="11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5. EQUIPMENT AND SUBSCRIPTIONS</w:t>
      </w:r>
    </w:p>
    <w:p>
      <w:r>
        <w:rPr>
          <w:rFonts w:ascii="Open Sans" w:cs="Open Sans" w:eastAsia="Open Sans" w:hAnsi="Open Sans"/>
          <w:color w:val="59595B"/>
          <w:sz w:val="22"/>
          <w:szCs w:val="22"/>
        </w:rPr>
        <w:t xml:space="preserve">Technijian will supply all hardware, hypervisor software, and firewall licensing required for this deployment as a fully managed solution. All pricing is sourced from the Technijian Managed Services Price List effective March 23, 2026.</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5.1 Technijian-Supplied Equipment &amp;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Item</w:t>
            </w:r>
          </w:p>
        </w:tc>
        <w:tc>
          <w:tcPr>
            <w:tcW w:type="dxa" w:w="6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Edge Appliance 16GB</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Dedicated hardware appliance (16 GB RAM) supplied by Technijian for on-premises installation at Client’s primary location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VMware ESXi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Hypervisor installed and configured on the Edge Appliance to host virtual workloads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SF V-2C4</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Virtual firewall appliance (2 vCPU, 4 GB RAM) deployed as a VM on ESXi with Xstream Protection Bundle</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5.2 Subscription Services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1200"/>
        <w:gridCol w:w="196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Item</w:t>
            </w:r>
          </w:p>
        </w:tc>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License</w:t>
            </w:r>
          </w:p>
        </w:tc>
        <w:tc>
          <w:tcPr>
            <w:tcW w:type="dxa" w:w="1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Annual Price</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SF V-2C4</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Virtual Firewall with Xstream Protection Bundle (Up to 300 Mbps)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SO-2C4G</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Yearly</w:t>
            </w:r>
          </w:p>
        </w:tc>
        <w:tc>
          <w:tcPr>
            <w:tcW w:type="dxa" w:w="1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$350.00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Edge Appliance 16GB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Managed edge appliance with ESXi hypervisor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Edge-16M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Yearly</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$100.00</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Sub-Total:</w:t>
            </w:r>
          </w:p>
        </w:tc>
        <w:tc>
          <w:tcPr>
            <w:tcW w:type="dxa" w:w="1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$450.00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5.3 Monthly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Item</w:t>
            </w:r>
          </w:p>
        </w:tc>
        <w:tc>
          <w:tcPr>
            <w:tcW w:type="dxa" w:w="27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Annual</w:t>
            </w:r>
          </w:p>
        </w:tc>
        <w:tc>
          <w:tcPr>
            <w:tcW w:type="dxa" w:w="27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 Equivalent</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SF V-2C4</w:t>
            </w:r>
          </w:p>
        </w:tc>
        <w:tc>
          <w:tcPr>
            <w:tcW w:type="dxa" w:w="27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$350.00</w:t>
            </w:r>
          </w:p>
        </w:tc>
        <w:tc>
          <w:tcPr>
            <w:tcW w:type="dxa" w:w="27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$29.17</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Edge Appliance 16GB</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$100.00</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$8.33</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27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$450.00</w:t>
            </w:r>
          </w:p>
        </w:tc>
        <w:tc>
          <w:tcPr>
            <w:tcW w:type="dxa" w:w="27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$37.50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5.4 Title and Ownership</w:t>
      </w:r>
    </w:p>
    <w:p>
      <w:r>
        <w:rPr>
          <w:rFonts w:ascii="Open Sans" w:cs="Open Sans" w:eastAsia="Open Sans" w:hAnsi="Open Sans"/>
          <w:color w:val="59595B"/>
          <w:sz w:val="22"/>
          <w:szCs w:val="22"/>
        </w:rPr>
        <w:t xml:space="preserve">The Edge Appliance 16GB hardware, VMware ESXi hypervisor license, and Sophos SF V-2C4 virtual appliance license are supplied by Technijian and shall remain the property of Technijian for the duration of the managed services engagement. Client is granted use of the equipment and software solely in connection with the services described in this SOW. Upon termination of the managed services engagement, Technijian shall retrieve the Edge Appliance hardware and deactivate associated licenses.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PRICING AND PAYMENT</w:t>
      </w:r>
    </w:p>
    <w:p>
      <w:pPr>
        <w:pStyle w:val="Heading2"/>
      </w:pPr>
      <w:r>
        <w:rPr>
          <w:rFonts w:ascii="Open Sans" w:cs="Open Sans" w:eastAsia="Open Sans" w:hAnsi="Open Sans"/>
          <w:color w:val="59595B"/>
          <w:sz w:val="22"/>
          <w:szCs w:val="22"/>
        </w:rPr>
        <w:t xml:space="preserve">6.1 Rate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 Tier</w:t>
            </w:r>
          </w:p>
        </w:tc>
        <w:tc>
          <w:tcPr>
            <w:tcW w:type="dxa" w:w="4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Hourly Rate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Engineer (US)</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On-shore senior technical resource — architecture, deployment, cutover, policy design</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Engineer (Offshore)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Off-shore technical resource — configuration, documentation, testing, evidence assembly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6.2 Labor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900"/>
        <w:gridCol w:w="1100"/>
        <w:gridCol w:w="1100"/>
        <w:gridCol w:w="1200"/>
        <w:gridCol w:w="960"/>
      </w:tblGrid>
      <w:tr>
        <w:tc>
          <w:tcPr>
            <w:tcW w:type="dxa" w:w="1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w:t>
            </w:r>
          </w:p>
        </w:tc>
        <w:tc>
          <w:tcPr>
            <w:tcW w:type="dxa" w:w="2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US Hrs</w:t>
            </w:r>
          </w:p>
        </w:tc>
        <w:tc>
          <w:tcPr>
            <w:tcW w:type="dxa" w:w="1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Offshore Hrs</w:t>
            </w:r>
          </w:p>
        </w:tc>
        <w:tc>
          <w:tcPr>
            <w:tcW w:type="dxa" w:w="1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US Cost</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Offshore Cost</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 Total</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w:t>
            </w:r>
          </w:p>
        </w:tc>
        <w:tc>
          <w:tcPr>
            <w:tcW w:type="dxa" w:w="2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Discovery &amp; Assessment</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$90.00</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$540.00</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2</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ESXi &amp; Firewall Deployment</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$90.00</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$540.00</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3</w:t>
            </w:r>
          </w:p>
        </w:tc>
        <w:tc>
          <w:tcPr>
            <w:tcW w:type="dxa" w:w="2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Edge Appliance Install &amp; Integration</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$600.00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$600.00</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4</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Security Policy &amp; Compliance Config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$900.00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$180.00</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$1,080.00</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5</w:t>
            </w:r>
          </w:p>
        </w:tc>
        <w:tc>
          <w:tcPr>
            <w:tcW w:type="dxa" w:w="2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Testing, Validation &amp; Go-Live</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$600.00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$180.00</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$780.00</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$3,000.00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$540.00</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$3,540.00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6.3 Total Project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Category</w:t>
            </w:r>
          </w:p>
        </w:tc>
        <w:tc>
          <w:tcPr>
            <w:tcW w:type="dxa" w:w="26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26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Cost</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Labor — US (20 hrs @ $150/hr)</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One-Time Fixed</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$3,000.00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Labor — Offshore (12 hrs @ $45/hr)</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One-Time Fixed</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$540.00</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SF V-2C4 (Year 1)</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Annual Subscription</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$350.00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Edge Appliance 16GB (Year 1)</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Annual Subscription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$100.00</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 Year 1 Investment</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$3,990.00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Annual Recurring (Year 2+)</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Annual Subscription</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$450.00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6.4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Milestone</w:t>
            </w:r>
          </w:p>
        </w:tc>
        <w:tc>
          <w:tcPr>
            <w:tcW w:type="dxa" w:w="3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Invoiced</w:t>
            </w:r>
          </w:p>
        </w:tc>
        <w:tc>
          <w:tcPr>
            <w:tcW w:type="dxa" w:w="3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Amount</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Upon SOW Execution</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Before Phase 1 begins</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$1,770.00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Completion of Phase 4</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After security policy configuration</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$1,770.00</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Annual Subscriptions</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Upon license activation</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$3,990.00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6.5 Payment Terms</w:t>
      </w:r>
    </w:p>
    <w:p>
      <w:r>
        <w:rPr>
          <w:rFonts w:ascii="Open Sans" w:cs="Open Sans" w:eastAsia="Open Sans" w:hAnsi="Open Sans"/>
          <w:color w:val="59595B"/>
          <w:sz w:val="22"/>
          <w:szCs w:val="22"/>
        </w:rPr>
        <w:t xml:space="preserve">All invoices are due and payable within thirty (30) days of the invoice date. Late payments are subject to a late fee of 1.5% per month on the unpaid balance.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CLIENT RESPONSIBILITIES</w:t>
      </w:r>
    </w:p>
    <w:p>
      <w:r>
        <w:rPr>
          <w:rFonts w:ascii="Open Sans" w:cs="Open Sans" w:eastAsia="Open Sans" w:hAnsi="Open Sans"/>
          <w:color w:val="59595B"/>
          <w:sz w:val="22"/>
          <w:szCs w:val="22"/>
        </w:rPr>
        <w:t xml:space="preserve">Client shall: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Provide physical site access, power, and network connectivity for the Technijian-supplied Edge Appliance at the designated location;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Designate a point of contact authorized to approve firewall policy decisions, VPN access requests, and network changes;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Provide current network topology documentation or allow Technijian to perform discovery;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Review and approve the firewall policy design document within five (5) business days of submission;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Ensure all relevant data is backed up prior to the start of network cutover;</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(f) Inform users of planned maintenance windows and potential connectivity disruptions during deployment; and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(g) Provide rack space or suitable mounting location for the Edge Appliance with adequate ventilation and power.</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CHANGE MANAGEMENT</w:t>
      </w:r>
    </w:p>
    <w:p>
      <w:r>
        <w:rPr>
          <w:rFonts w:ascii="Open Sans" w:cs="Open Sans" w:eastAsia="Open Sans" w:hAnsi="Open Sans"/>
          <w:color w:val="59595B"/>
          <w:sz w:val="22"/>
          <w:szCs w:val="22"/>
        </w:rPr>
        <w:t xml:space="preserve">8.01. Any changes to the scope, schedule, or pricing of this SOW must be documented in a written Change Order signed by both Parties before work on the change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8.02. If Client requests work outside the defined scope, Technijian shall provide a Change Order detailing the additional work, estimated hours, and cost impact.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8.03. Technijian shall not proceed with out-of-scope work without an approved Change Order, except in cases where delay would result in harm to Client’s systems, in which case Technijian shall notify Client as soon as practicable.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ACCEPTANCE</w:t>
      </w:r>
    </w:p>
    <w:p>
      <w:r>
        <w:rPr>
          <w:rFonts w:ascii="Open Sans" w:cs="Open Sans" w:eastAsia="Open Sans" w:hAnsi="Open Sans"/>
          <w:color w:val="59595B"/>
          <w:sz w:val="22"/>
          <w:szCs w:val="22"/>
        </w:rPr>
        <w:t xml:space="preserve">9.01. Upon completion of each phase, Technijian shall notify Client in writing that the deliverables are ready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9.02. Client shall review the deliverables and provide written acceptance or a detailed description of deficiencies within five (5) business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9.03. If Client does not respond within the review period, the deliverables shall be deemed accepted.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9.04. If deficiencies are identified, Technijian shall correct them and resubmit for review. This process shall repeat until acceptance is achieved or the Parties agree on a resolution.</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10. GOVERNING TERMS</w:t>
      </w:r>
    </w:p>
    <w:p>
      <w:r>
        <w:rPr>
          <w:rFonts w:ascii="Open Sans" w:cs="Open Sans" w:eastAsia="Open Sans" w:hAnsi="Open Sans"/>
          <w:color w:val="59595B"/>
          <w:sz w:val="22"/>
          <w:szCs w:val="22"/>
        </w:rPr>
        <w:t xml:space="preserve">10.01. If a Master Service Agreement is in effect between the Parties, the terms of the MSA shall govern this SOW. In the event of a conflict between this SOW and the MSA, the MSA shall prevail unless this SOW expressly states otherwise.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10.02. If no MSA is in effect, the Technijian Standard Terms and Conditions (attached as Appendix A) shall govern this SOW.</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AMERICAN FUNDSTARS FINANCIAL GROUP LLC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2026-03-24T01:00:09.875Z</dcterms:created>
  <dcterms:modified xsi:type="dcterms:W3CDTF">2026-03-24T01:00:09.877Z</dcterms:modified>
</cp:coreProperties>
</file>

<file path=docProps/custom.xml><?xml version="1.0" encoding="utf-8"?>
<Properties xmlns="http://schemas.openxmlformats.org/officeDocument/2006/custom-properties" xmlns:vt="http://schemas.openxmlformats.org/officeDocument/2006/docPropsVTypes"/>
</file>