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spacing w:before="0" w:after="0"/>
            </w:pPr>
            <w:r/>
          </w:p>
        </w:tc>
        <w:tc>
          <w:tcPr>
            <w:tcW w:type="dxa" w:w="3600"/>
            <w:shd w:fill="F67D4B" w:val="clear"/>
          </w:tcPr>
          <w:p>
            <w:pPr>
              <w:spacing w:before="0" w:after="0"/>
            </w:pPr>
            <w:r/>
          </w:p>
        </w:tc>
        <w:tc>
          <w:tcPr>
            <w:tcW w:type="dxa" w:w="3240"/>
          </w:tcPr>
          <w:p>
            <w:pPr>
              <w:spacing w:before="0" w:after="0"/>
            </w:pPr>
            <w:r/>
          </w:p>
        </w:tc>
      </w:tr>
    </w:tbl>
    <w:p>
      <w:pPr>
        <w:spacing w:before="400"/>
        <w:jc w:val="center"/>
      </w:pPr>
      <w:r>
        <w:rPr>
          <w:rFonts w:ascii="Open Sans" w:hAnsi="Open Sans"/>
          <w:b/>
          <w:i w:val="0"/>
          <w:color w:val="1A1A2E"/>
          <w:sz w:val="48"/>
        </w:rPr>
        <w:t>Executive Summary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6"/>
        </w:rPr>
        <w:t>Compliance Strategy Implementation — VDI + Regulatory Controls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 xml:space="preserve">Prepared for </w:t>
      </w:r>
      <w:r>
        <w:rPr>
          <w:rFonts w:ascii="Open Sans" w:hAnsi="Open Sans"/>
          <w:b/>
          <w:i w:val="0"/>
          <w:color w:val="006DB6"/>
          <w:sz w:val="24"/>
        </w:rPr>
        <w:t>American Fundstars Financial Group LLC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0"/>
        </w:rPr>
        <w:t>May 1, 2026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F67D4B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6"/>
        </w:rPr>
        <w:t>CONFIDENTIAL — For authorized use only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Overview</w:t>
            </w:r>
          </w:p>
        </w:tc>
      </w:tr>
    </w:tbl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Technijian is pleased to present this Executive Summary for American Fundstars Financial Group LLC (“AFFG”). This document describes the recommended transition from AFFG’s current IT posture — eleven (11) registered agents operating on unmanaged personal laptops — to a dedicated Technijian VDI (Virtual Desktop Infrastructure) environment that achieves full alignment with SEC Regulation S-P (2024 Amendments), FINRA Rule 4370, FINRA Rule 3110, and SEC Rule 17a-4.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As a dually-registered Investment Adviser and Broker-Dealer handling customer Non-Public Information (NPI), PII, and financial account data, AFFG’s current compliance posture carries material regulatory exposure. The proposed solution brings that posture from an estimated ~15% compliance coverage to 100% across the four governing frameworks.</w:t>
      </w: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Document Package: </w:t>
      </w:r>
      <w:r>
        <w:rPr>
          <w:rFonts w:ascii="Open Sans" w:hAnsi="Open Sans"/>
          <w:b w:val="0"/>
          <w:i w:val="0"/>
          <w:color w:val="59595B"/>
          <w:sz w:val="20"/>
        </w:rPr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MSA-AFFG — Master Service Agreement (legal body)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Schedule A — Monthly Managed Services pricing ($6,922.35/mo)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Schedule B — Subscription and License Services placeholder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Schedule C — Rate Card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SOW-AFFG-003 — IT Compliance &amp; VDI Implementation ($12,795 one-time)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Current vs. Future State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Current State</w:t>
            </w:r>
          </w:p>
        </w:tc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Future State (Post-Implementation)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Compliance Posture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~15% coverage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100% coverage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Agent Workstations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11 unmanaged personal laptops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11 dedicated Technijian VDI desktops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Data Location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Client data on personal devices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Zero client data on personal device — VDI is the boundary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Schwab / IBKR Access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From any personal device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VDI egress IPs only (allowlisted)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M365 Access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From any personal device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VDI-sourced sessions only (Entra Conditional Access)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DLP Controls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None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M365 DLP across Exchange / SharePoint / OneDrive / Teams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Email Archive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AFFG existing platform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AFFG existing platform (unchanged — remains authoritative)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M365 Data Backup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None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Veeam 365 Backup with 7-year immutable retention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User Activity Monitoring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None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My Audit UAM+DLP on all 11 VDI desktops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Security Awareness Training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None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Huntress SAT with monthly phishing simulations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MFA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Inconsistent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Unified MFA on VDI + M365 + Schwab + IBKR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Incident Response Plan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None documented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Written IRP + breach notification templates + 72-hour vendor clause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New Services — What and Why</w:t>
            </w:r>
          </w:p>
        </w:tc>
      </w:tr>
    </w:tbl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Every service added is directly tied to a regulatory requirement. Below is the mapping of each new monthly service to the specific rule(s) it satisfies.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Monthly</w:t>
            </w:r>
          </w:p>
        </w:tc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Why Added (Regulatory Driver)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Technijian VDI Workstations (11)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$2,156.00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Core compliance boundary. SEC Reg S-P Safeguards (prevent unauthorized access to NPI); FINRA Rule 3110 individual accountability (each agent = one dedicated VM = clean audit trail); FINRA 4370 alternate work location.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Endpoint Security on VDI (11)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$291.50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CrowdStrike + Huntress + DNS filtering + Patch Mgmt + Remote. SEC Reg S-P Safeguards Rule requires endpoint protection. 24/7 SOC via Huntress is the defensible baseline for a regulated firm.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My Audit UAM+DLP / 1-Year (11)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$1,189.10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FINRA Rule 3110 supervisory audit trail; SEC Reg S-P access monitoring; insider threat detection. 1-year online retention satisfies immediate supervisor review; older data archived via V365 backup.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SSO / 2FA (11)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$132.00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SEC Reg S-P access control; FINRA 3110 named accounts; unified MFA across VDI, M365, Schwab, IBKR.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Credential Manager (11)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$55.00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SEC Reg S-P access control; eliminates passwords-in-email, passwords-on-sticky-notes; satisfies password-complexity and rotation requirements.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Veeam 365 Backup (31 users)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$124.00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SEC Rule 17a-4 recordkeeping (7-year immutable retention for M365 data); ransomware protection; SEC Reg S-P data recovery.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Phishing Training / Huntress SAT (31 users)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$186.00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SEC Reg S-P employee training requirement; FINRA 3110 ongoing training obligation; reduces social-engineering attack surface on a high-value financial target.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Inky Anti-Spam Basic (31 users)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$131.75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Email-threat prevention for a firm where email is the #1 compromise vector; includes archiving capability.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VDI Site Assessment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$50.00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Monthly vulnerability scan of the VDI environment (subnets, firewall rules, egress IPs). FINRA 4370 network integrity.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Physical Office Site Assessment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$50.00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Continuing monthly scan of the 1 Park Plaza office network (Sophos firewall + Wireless APs from SOW-001 / SOW-002).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Production Storage (2 TB)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$400.00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FSLogix user profile containers + VDI cache storage. Required infrastructure for VDI.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Backup Storage (2 TB)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$100.00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Destination for Veeam 365 Backup with 7-year WORM immutability — direct SEC 17a-4 satisfaction.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Not Included: </w:t>
      </w:r>
      <w:r>
        <w:rPr>
          <w:rFonts w:ascii="Open Sans" w:hAnsi="Open Sans"/>
          <w:b w:val="0"/>
          <w:i w:val="0"/>
          <w:color w:val="59595B"/>
          <w:sz w:val="20"/>
        </w:rPr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Technijian My Archive — AFFG’s existing email archiving platform remains authoritative for 7-year mail retention; we coordinate around it rather than duplicating it.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Monthly Investment Change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Line Item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Prior MSA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New MSA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16 Physical Desktops (endpoint services)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$424.00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Replaced by VDI (11 agents)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User Services (V365 + PHT)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$263.50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$441.75 (adds ASB, V365 at updated rate)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+$178.25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Domain / Site / IP (DKIM + SA + RTPT)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$112.00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$162.00 (adds VDI Site Assessment)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+$50.00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Shared Storage (Production + Backup)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$0.00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$500.00 (new)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+$500.00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Technijian VDI + My Audit + SSO + CRM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$0.00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$3,823.60 (new)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+$3,823.60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Virtual Staff Support (UNCHANGED)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$1,995.00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$1,995.00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$0.00</w:t>
            </w:r>
          </w:p>
        </w:tc>
      </w:tr>
      <w:tr>
        <w:tc>
          <w:tcPr>
            <w:tcW w:type="dxa" w:w="23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TOTAL MONTHLY</w:t>
            </w:r>
          </w:p>
        </w:tc>
        <w:tc>
          <w:tcPr>
            <w:tcW w:type="dxa" w:w="23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$2,794.50</w:t>
            </w:r>
          </w:p>
        </w:tc>
        <w:tc>
          <w:tcPr>
            <w:tcW w:type="dxa" w:w="23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$6,922.35</w:t>
            </w:r>
          </w:p>
        </w:tc>
        <w:tc>
          <w:tcPr>
            <w:tcW w:type="dxa" w:w="23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+$4,127.85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Key Point: </w:t>
      </w:r>
      <w:r>
        <w:rPr>
          <w:rFonts w:ascii="Open Sans" w:hAnsi="Open Sans"/>
          <w:b w:val="0"/>
          <w:i w:val="0"/>
          <w:color w:val="59595B"/>
          <w:sz w:val="20"/>
        </w:rPr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The new monthly charges REPLACE the prior workstation and user services — they are NOT additive. Virtual Staff Support hours and rates are unchanged. The +$4,127.85/month increase funds the compliance infrastructure required to avoid SEC enforcement actions, FINRA examination deficiency letters, and customer-data-breach liability.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One-Time Implementation</w:t>
            </w:r>
          </w:p>
        </w:tc>
      </w:tr>
    </w:tbl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The 7-phase implementation (18 weeks, see SOW-AFFG-003) totals $12,795 in one-time professional services fees, blended across US and India technical resources: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Rate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Hours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Labor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US Tech Support (IRV-TS1)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64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$9,600.00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India Tech Support (CHD-TS1)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$45/hr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71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$3,195.00</w:t>
            </w:r>
          </w:p>
        </w:tc>
      </w:tr>
      <w:tr>
        <w:tc>
          <w:tcPr>
            <w:tcW w:type="dxa" w:w="23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TOTAL</w:t>
            </w:r>
          </w:p>
        </w:tc>
        <w:tc>
          <w:tcPr>
            <w:tcW w:type="dxa" w:w="23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</w:r>
          </w:p>
        </w:tc>
        <w:tc>
          <w:tcPr>
            <w:tcW w:type="dxa" w:w="23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135</w:t>
            </w:r>
          </w:p>
        </w:tc>
        <w:tc>
          <w:tcPr>
            <w:tcW w:type="dxa" w:w="234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$12,795.00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Payment schedule: 50% upon SOW execution / 25% upon Phase 4 completion / 25% upon Phase 7 delivery and compliance-documentation acceptance.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Risk of Inaction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4680"/>
        <w:gridCol w:w="4680"/>
      </w:tblGrid>
      <w:tr>
        <w:tc>
          <w:tcPr>
            <w:tcW w:type="dxa" w:w="468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468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Potential Impact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SEC enforcement action under Reg S-P</w:t>
            </w:r>
          </w:p>
        </w:tc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Monetary fines; cease-and-desist order; ongoing monitoring obligation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FINRA examination deficiency letter</w:t>
            </w:r>
          </w:p>
        </w:tc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Remediation timeline imposed by FINRA; potential suspension of activities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Customer data breach (NPI or PII exposure)</w:t>
            </w:r>
          </w:p>
        </w:tc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Customer notification obligations; litigation exposure; reputational damage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SEC 17a-4 recordkeeping finding</w:t>
            </w:r>
          </w:p>
        </w:tc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Retention-period penalties; rule 17a-4 certification revocation risk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FINRA 3110 supervisory finding</w:t>
            </w:r>
          </w:p>
        </w:tc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Supervisory-system deficiency letter; required remediation plan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Year 1 Investment Summary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4680"/>
        <w:gridCol w:w="4680"/>
      </w:tblGrid>
      <w:tr>
        <w:tc>
          <w:tcPr>
            <w:tcW w:type="dxa" w:w="468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One-Time Implementation (SOW-AFFG-003)</w:t>
            </w:r>
          </w:p>
        </w:tc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$12,795.00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Ongoing Monthly (12 x $6,922.35)</w:t>
            </w:r>
          </w:p>
        </w:tc>
        <w:tc>
          <w:tcPr>
            <w:tcW w:type="dxa" w:w="468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$83,068.20</w:t>
            </w:r>
          </w:p>
        </w:tc>
      </w:tr>
      <w:tr>
        <w:tc>
          <w:tcPr>
            <w:tcW w:type="dxa" w:w="468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TOTAL YEAR 1</w:t>
            </w:r>
          </w:p>
        </w:tc>
        <w:tc>
          <w:tcPr>
            <w:tcW w:type="dxa" w:w="4680"/>
            <w:shd w:fill="F8F9FA" w:val="clear"/>
          </w:tcPr>
          <w:p>
            <w:r/>
            <w:r>
              <w:rPr>
                <w:rFonts w:ascii="Open Sans" w:hAnsi="Open Sans"/>
                <w:b/>
                <w:i w:val="0"/>
                <w:color w:val="1A1A2E"/>
                <w:sz w:val="18"/>
              </w:rPr>
              <w:t>$95,863.20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Note: </w:t>
      </w:r>
      <w:r>
        <w:rPr>
          <w:rFonts w:ascii="Open Sans" w:hAnsi="Open Sans"/>
          <w:b w:val="0"/>
          <w:i w:val="0"/>
          <w:color w:val="59595B"/>
          <w:sz w:val="20"/>
        </w:rPr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All figures are presented monthly; the 12-month total above is shown strictly for planning purposes and is not the contracted commitment amount. The Agreement term is twelve (12) months with automatic renewal unless notice of non-renewal is provided sixty (60) days before term end.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Next Steps</w:t>
            </w:r>
          </w:p>
        </w:tc>
      </w:tr>
    </w:tbl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Review MSA-AFFG, Schedules A / B / C, and SOW-AFFG-003.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Confirm named agent list for the 11 VDI desktops.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Confirm AFFG Microsoft 365 license tier (E3 / E5) for DLP capability alignment.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Sign MSA + SOW-AFFG-003 to initiate Phase 1 (VDI Foundation).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Technijian kicks off within five (5) business days of execution.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40"/>
            </w:pPr>
            <w:r/>
          </w:p>
        </w:tc>
      </w:tr>
    </w:tbl>
    <w:p>
      <w:pPr>
        <w:spacing w:before="120"/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Open Sans" w:hAnsi="Open Sans"/>
      <w:color w:val="59595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