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Statement of Work</w:t>
      </w:r>
    </w:p>
    <w:p>
      <w:pPr>
        <w:jc w:val="center"/>
      </w:pPr>
      <w:r>
        <w:rPr>
          <w:rFonts w:ascii="Open Sans" w:hAnsi="Open Sans"/>
          <w:b w:val="0"/>
          <w:i w:val="0"/>
          <w:color w:val="59595B"/>
          <w:sz w:val="26"/>
        </w:rPr>
        <w:t>SOW-AFFG-003: IT Compliance &amp; VDI Implementation</w:t>
      </w:r>
    </w:p>
    <w:p>
      <w:pPr>
        <w:jc w:val="center"/>
      </w:pPr>
      <w:r>
        <w:rPr>
          <w:rFonts w:ascii="Open Sans" w:hAnsi="Open Sans"/>
          <w:b w:val="0"/>
          <w:i w:val="0"/>
          <w:color w:val="59595B"/>
          <w:sz w:val="24"/>
        </w:rPr>
        <w:t xml:space="preserve">Prepared for </w:t>
      </w:r>
      <w:r>
        <w:rPr>
          <w:rFonts w:ascii="Open Sans" w:hAnsi="Open Sans"/>
          <w:b/>
          <w:i w:val="0"/>
          <w:color w:val="006DB6"/>
          <w:sz w:val="24"/>
        </w:rPr>
        <w:t>American Fundstars Financial Group LLC</w:t>
      </w:r>
    </w:p>
    <w:p>
      <w:pPr>
        <w:jc w:val="center"/>
      </w:pPr>
      <w:r>
        <w:rPr>
          <w:rFonts w:ascii="Open Sans" w:hAnsi="Open Sans"/>
          <w:b w:val="0"/>
          <w:i w:val="0"/>
          <w:color w:val="59595B"/>
          <w:sz w:val="20"/>
        </w:rPr>
        <w:t>May 1,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SOW-AFFG-003 — IT COMPLIANCE &amp; VDI IMPLEMENTATION</w:t>
            </w:r>
          </w:p>
        </w:tc>
      </w:tr>
    </w:tbl>
    <w:p>
      <w:pPr>
        <w:spacing w:after="80"/>
      </w:pPr>
    </w:p>
    <w:p>
      <w:pPr>
        <w:spacing w:after="120"/>
      </w:pPr>
      <w:r>
        <w:rPr>
          <w:rFonts w:ascii="Open Sans" w:hAnsi="Open Sans"/>
          <w:b w:val="0"/>
          <w:i w:val="0"/>
          <w:color w:val="59595B"/>
          <w:sz w:val="20"/>
        </w:rPr>
        <w:t>SOW Number: SOW-AFFG-003</w:t>
      </w:r>
    </w:p>
    <w:p>
      <w:pPr>
        <w:spacing w:after="120"/>
      </w:pPr>
      <w:r>
        <w:rPr>
          <w:rFonts w:ascii="Open Sans" w:hAnsi="Open Sans"/>
          <w:b w:val="0"/>
          <w:i w:val="0"/>
          <w:color w:val="59595B"/>
          <w:sz w:val="20"/>
        </w:rPr>
        <w:t>Effective Date: May 1, 2026</w:t>
      </w:r>
    </w:p>
    <w:p>
      <w:pPr>
        <w:spacing w:after="120"/>
      </w:pPr>
      <w:r>
        <w:rPr>
          <w:rFonts w:ascii="Open Sans" w:hAnsi="Open Sans"/>
          <w:b w:val="0"/>
          <w:i w:val="0"/>
          <w:color w:val="59595B"/>
          <w:sz w:val="20"/>
        </w:rPr>
        <w:t>Parent Agreement: MSA-AFFG-2026</w:t>
      </w:r>
    </w:p>
    <w:p>
      <w:pPr>
        <w:spacing w:after="120"/>
      </w:pPr>
      <w:r>
        <w:rPr>
          <w:rFonts w:ascii="Open Sans" w:hAnsi="Open Sans"/>
          <w:b w:val="0"/>
          <w:i w:val="0"/>
          <w:color w:val="59595B"/>
          <w:sz w:val="20"/>
        </w:rPr>
        <w:t>Client: American Fundstars Financial Group LLC (“AFFG”)</w:t>
      </w:r>
    </w:p>
    <w:p>
      <w:pPr>
        <w:spacing w:after="120"/>
      </w:pPr>
      <w:r>
        <w:rPr>
          <w:rFonts w:ascii="Open Sans" w:hAnsi="Open Sans"/>
          <w:b w:val="0"/>
          <w:i w:val="0"/>
          <w:color w:val="59595B"/>
          <w:sz w:val="20"/>
        </w:rPr>
        <w:t>Source: AFFG IT Compliance Strategy (REF: AFFG-CS-2026-04, April 2026)</w:t>
      </w:r>
    </w:p>
    <w:p>
      <w:pPr>
        <w:spacing w:after="120"/>
      </w:pPr>
      <w:r>
        <w:rPr>
          <w:rFonts w:ascii="Open Sans" w:hAnsi="Open Sans"/>
          <w:b w:val="0"/>
          <w:i w:val="0"/>
          <w:color w:val="59595B"/>
          <w:sz w:val="20"/>
        </w:rPr>
        <w:t>Regulatory Scope: SEC Reg S-P (2024 Amendments), FINRA Rule 4370, FINRA Rule 3110, SEC Rule 17a-4</w:t>
      </w:r>
    </w:p>
    <w:p>
      <w:pPr>
        <w:spacing w:after="80"/>
      </w:pPr>
    </w:p>
    <w:p>
      <w:pPr>
        <w:spacing w:after="60"/>
      </w:pPr>
      <w:r>
        <w:rPr>
          <w:rFonts w:ascii="Open Sans" w:hAnsi="Open Sans"/>
          <w:b/>
          <w:i w:val="0"/>
          <w:color w:val="1A1A2E"/>
          <w:sz w:val="20"/>
        </w:rPr>
        <w:t xml:space="preserve">Supersedes: </w:t>
      </w:r>
      <w:r>
        <w:rPr>
          <w:rFonts w:ascii="Open Sans" w:hAnsi="Open Sans"/>
          <w:b w:val="0"/>
          <w:i w:val="0"/>
          <w:color w:val="59595B"/>
          <w:sz w:val="20"/>
        </w:rPr>
        <w:t>This Agreement supersedes the prior Client Monthly Service Agreement between the Parties (DocuSign Envelope F3CDFC05-B156-8A6F-8020-13A164F4E3F1, effective 3/11/2026). Upon the Effective Date of this Agreement, the monthly charges for workstation services, endpoint security, user services, domain/site/IP services, and shared storage set forth in Schedule A shall REPLACE (not be billed in addition to) the corresponding charges under the prior Monthly Service Agreement. The Virtual Staff Support hours and rates under the prior Monthly Service Agreement (CTO Advisory 3 hrs @ $225, US Tech Support 6 hrs @ $125, India Tech Normal 22 hrs @ $15, India Tech After-Hours 8 hrs @ $30) remain UNCHANGED and carry forward into Schedule A, Part 5 of this Agreement at the same rates and contracted hour levels.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 Project Overview</w:t>
            </w:r>
          </w:p>
        </w:tc>
      </w:tr>
    </w:tbl>
    <w:p>
      <w:pPr>
        <w:spacing w:after="120"/>
      </w:pPr>
      <w:r>
        <w:rPr>
          <w:rFonts w:ascii="Open Sans" w:hAnsi="Open Sans"/>
          <w:b w:val="0"/>
          <w:i w:val="0"/>
          <w:color w:val="59595B"/>
          <w:sz w:val="20"/>
        </w:rPr>
        <w:t>Technijian will deliver a 7-phase implementation that migrates AFFG’s eleven (11) registered agents onto the Technijian VDI (Virtual Desktop Infrastructure) environment — Technijian’s privately-operated, managed Windows 11 desktop service — locks down access to the Microsoft 365 tenant and the Schwab / Interactive Brokers custodial APIs to VDI egress IPs only, deploys data-loss-prevention controls across Exchange Online, SharePoint, OneDrive, and Teams, and produces the full regulator-ready compliance documentation set required under SEC Regulation S-P (including the 2024 Amendments), FINRA Rule 4370, FINRA Rule 3110, and SEC Rule 17a-4.</w:t>
      </w:r>
    </w:p>
    <w:p>
      <w:pPr>
        <w:spacing w:after="80"/>
      </w:pPr>
    </w:p>
    <w:p>
      <w:pPr>
        <w:spacing w:after="60"/>
      </w:pPr>
      <w:r>
        <w:rPr>
          <w:rFonts w:ascii="Open Sans" w:hAnsi="Open Sans"/>
          <w:b/>
          <w:i w:val="0"/>
          <w:color w:val="1A1A2E"/>
          <w:sz w:val="20"/>
        </w:rPr>
        <w:t>Objectives:</w:t>
      </w:r>
      <w:r>
        <w:rPr>
          <w:rFonts w:ascii="Open Sans" w:hAnsi="Open Sans"/>
          <w:b w:val="0"/>
          <w:i w:val="0"/>
          <w:color w:val="59595B"/>
          <w:sz w:val="20"/>
        </w:rPr>
      </w:r>
    </w:p>
    <w:p>
      <w:pPr>
        <w:pStyle w:val="ListBullet"/>
        <w:spacing w:after="40"/>
      </w:pPr>
      <w:r>
        <w:rPr>
          <w:rFonts w:ascii="Open Sans" w:hAnsi="Open Sans"/>
          <w:b w:val="0"/>
          <w:i w:val="0"/>
          <w:color w:val="59595B"/>
          <w:sz w:val="20"/>
        </w:rPr>
        <w:t>Deploy VDI for 11 agents with dedicated Windows 11 personal desktops (one per agent)</w:t>
      </w:r>
    </w:p>
    <w:p>
      <w:pPr>
        <w:pStyle w:val="ListBullet"/>
        <w:spacing w:after="40"/>
      </w:pPr>
      <w:r>
        <w:rPr>
          <w:rFonts w:ascii="Open Sans" w:hAnsi="Open Sans"/>
          <w:b w:val="0"/>
          <w:i w:val="0"/>
          <w:color w:val="59595B"/>
          <w:sz w:val="20"/>
        </w:rPr>
        <w:t>Restrict M365 and custodian-API access to VDI egress IPs only</w:t>
      </w:r>
    </w:p>
    <w:p>
      <w:pPr>
        <w:pStyle w:val="ListBullet"/>
        <w:spacing w:after="40"/>
      </w:pPr>
      <w:r>
        <w:rPr>
          <w:rFonts w:ascii="Open Sans" w:hAnsi="Open Sans"/>
          <w:b w:val="0"/>
          <w:i w:val="0"/>
          <w:color w:val="59595B"/>
          <w:sz w:val="20"/>
        </w:rPr>
        <w:t>Deploy M365 DLP, OneDrive external-sharing lockdown, and email DLP with custodian TLS enforcement</w:t>
      </w:r>
    </w:p>
    <w:p>
      <w:pPr>
        <w:pStyle w:val="ListBullet"/>
        <w:spacing w:after="40"/>
      </w:pPr>
      <w:r>
        <w:rPr>
          <w:rFonts w:ascii="Open Sans" w:hAnsi="Open Sans"/>
          <w:b w:val="0"/>
          <w:i w:val="0"/>
          <w:color w:val="59595B"/>
          <w:sz w:val="20"/>
        </w:rPr>
        <w:t>Stand up Veeam 365 Backup with 7-year immutable retention (SEC 17a-4)</w:t>
      </w:r>
    </w:p>
    <w:p>
      <w:pPr>
        <w:pStyle w:val="ListBullet"/>
        <w:spacing w:after="40"/>
      </w:pPr>
      <w:r>
        <w:rPr>
          <w:rFonts w:ascii="Open Sans" w:hAnsi="Open Sans"/>
          <w:b w:val="0"/>
          <w:i w:val="0"/>
          <w:color w:val="59595B"/>
          <w:sz w:val="20"/>
        </w:rPr>
        <w:t>Achieve 100% regulatory compliance posture (up from the current ~15% baseline) per the AFFG IT Compliance Strategy</w:t>
      </w:r>
    </w:p>
    <w:p>
      <w:pPr>
        <w:pStyle w:val="ListBullet"/>
        <w:spacing w:after="40"/>
      </w:pPr>
      <w:r>
        <w:rPr>
          <w:rFonts w:ascii="Open Sans" w:hAnsi="Open Sans"/>
          <w:b w:val="0"/>
          <w:i w:val="0"/>
          <w:color w:val="59595B"/>
          <w:sz w:val="20"/>
        </w:rPr>
        <w:t>Produce the complete regulator-ready compliance binder (IRP, breach notification, vendor oversight, BCP disclosure, info disposal, annual sign-off)</w:t>
      </w:r>
    </w:p>
    <w:p>
      <w:pPr>
        <w:spacing w:after="80"/>
      </w:pPr>
    </w:p>
    <w:p>
      <w:pPr>
        <w:spacing w:after="60"/>
      </w:pPr>
      <w:r>
        <w:rPr>
          <w:rFonts w:ascii="Open Sans" w:hAnsi="Open Sans"/>
          <w:b/>
          <w:i w:val="0"/>
          <w:color w:val="1A1A2E"/>
          <w:sz w:val="20"/>
        </w:rPr>
        <w:t xml:space="preserve">Exclusions: </w:t>
      </w:r>
      <w:r>
        <w:rPr>
          <w:rFonts w:ascii="Open Sans" w:hAnsi="Open Sans"/>
          <w:b w:val="0"/>
          <w:i w:val="0"/>
          <w:color w:val="59595B"/>
          <w:sz w:val="20"/>
        </w:rPr>
        <w:t>Technijian My Archive is NOT included under this SOW. AFFG operates its own email-archiving platform, which will remain authoritative for long-term mail retention. Coordination with that platform is included in Phase 4.</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2. 7-Phase Implementation Scope</w:t>
            </w:r>
          </w:p>
        </w:tc>
      </w:tr>
    </w:tbl>
    <w:p>
      <w:pPr>
        <w:spacing w:after="120"/>
      </w:pPr>
      <w:r>
        <w:rPr>
          <w:rFonts w:ascii="Open Sans" w:hAnsi="Open Sans"/>
          <w:b w:val="0"/>
          <w:i w:val="0"/>
          <w:color w:val="59595B"/>
          <w:sz w:val="20"/>
        </w:rPr>
        <w:t>Project work is organized into thirty-seven (37) numbered tickets distributed across seven (7) sequential phases, 135 total estimated hours. Each phase below includes the narrative description and the full ticket summary with estimated hours and assigned POD.</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1 — VDI Foundation (Weeks 1–4)</w:t>
            </w:r>
          </w:p>
        </w:tc>
      </w:tr>
    </w:tbl>
    <w:p>
      <w:pPr>
        <w:spacing w:after="120"/>
      </w:pPr>
      <w:r>
        <w:rPr>
          <w:rFonts w:ascii="Open Sans" w:hAnsi="Open Sans"/>
          <w:b w:val="0"/>
          <w:i w:val="0"/>
          <w:color w:val="59595B"/>
          <w:sz w:val="20"/>
        </w:rPr>
        <w:t>Establish the Technijian VDI tenant (Technijian’s privately-operated Virtual Desktop service) that will host all eleven (11) AFFG agents. Phase 1 deliverables include the Technijian VDI workspace and personal host pool, eleven dedicated Windows 11 Enterprise personal-desktop VMs, hardened VDI session policies (no clipboard, no local drives, no USB redirection, watermarking, 15-minute inactivity lock), FSLogix profile containers on the Technijian Production Storage pool, MFA and Entra Conditional Access, hands-on enrollment and training, My Audit UAM+DLP agent integration, and documented VDI egress IPs prepared for Schwab and Interactive Brokers allowlisting. This phase enforces the ‘no client data on personal device’ core design principle that underpins the AFFG compliance strategy.</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r>
              <w:rPr>
                <w:rFonts w:ascii="Open Sans" w:hAnsi="Open Sans"/>
                <w:b w:val="0"/>
                <w:i w:val="0"/>
                <w:color w:val="59595B"/>
                <w:sz w:val="18"/>
              </w:rPr>
              <w:t>AFFG-003-001</w:t>
            </w:r>
          </w:p>
        </w:tc>
        <w:tc>
          <w:tcPr>
            <w:tcW w:type="dxa" w:w="2340"/>
          </w:tcPr>
          <w:p>
            <w:r/>
            <w:r>
              <w:rPr>
                <w:rFonts w:ascii="Open Sans" w:hAnsi="Open Sans"/>
                <w:b w:val="0"/>
                <w:i w:val="0"/>
                <w:color w:val="59595B"/>
                <w:sz w:val="18"/>
              </w:rPr>
              <w:t>Technijian VDI Tenant Setup</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AFFG-003-002</w:t>
            </w:r>
          </w:p>
        </w:tc>
        <w:tc>
          <w:tcPr>
            <w:tcW w:type="dxa" w:w="2340"/>
          </w:tcPr>
          <w:p>
            <w:r/>
            <w:r>
              <w:rPr>
                <w:rFonts w:ascii="Open Sans" w:hAnsi="Open Sans"/>
                <w:b w:val="0"/>
                <w:i w:val="0"/>
                <w:color w:val="59595B"/>
                <w:sz w:val="18"/>
              </w:rPr>
              <w:t>Deploy 11 Windows 11 Personal Desktop Images</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AFFG-003-003</w:t>
            </w:r>
          </w:p>
        </w:tc>
        <w:tc>
          <w:tcPr>
            <w:tcW w:type="dxa" w:w="2340"/>
          </w:tcPr>
          <w:p>
            <w:r/>
            <w:r>
              <w:rPr>
                <w:rFonts w:ascii="Open Sans" w:hAnsi="Open Sans"/>
                <w:b w:val="0"/>
                <w:i w:val="0"/>
                <w:color w:val="59595B"/>
                <w:sz w:val="18"/>
              </w:rPr>
              <w:t>Configure VDI Security Policies</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AFFG-003-004</w:t>
            </w:r>
          </w:p>
        </w:tc>
        <w:tc>
          <w:tcPr>
            <w:tcW w:type="dxa" w:w="2340"/>
          </w:tcPr>
          <w:p>
            <w:r/>
            <w:r>
              <w:rPr>
                <w:rFonts w:ascii="Open Sans" w:hAnsi="Open Sans"/>
                <w:b w:val="0"/>
                <w:i w:val="0"/>
                <w:color w:val="59595B"/>
                <w:sz w:val="18"/>
              </w:rPr>
              <w:t>User Profile Management &amp; FSLogix Setup</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AFFG-003-005</w:t>
            </w:r>
          </w:p>
        </w:tc>
        <w:tc>
          <w:tcPr>
            <w:tcW w:type="dxa" w:w="2340"/>
          </w:tcPr>
          <w:p>
            <w:r/>
            <w:r>
              <w:rPr>
                <w:rFonts w:ascii="Open Sans" w:hAnsi="Open Sans"/>
                <w:b w:val="0"/>
                <w:i w:val="0"/>
                <w:color w:val="59595B"/>
                <w:sz w:val="18"/>
              </w:rPr>
              <w:t>MFA &amp; Entra Conditional Access Configuration</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AFFG-003-006</w:t>
            </w:r>
          </w:p>
        </w:tc>
        <w:tc>
          <w:tcPr>
            <w:tcW w:type="dxa" w:w="2340"/>
          </w:tcPr>
          <w:p>
            <w:r/>
            <w:r>
              <w:rPr>
                <w:rFonts w:ascii="Open Sans" w:hAnsi="Open Sans"/>
                <w:b w:val="0"/>
                <w:i w:val="0"/>
                <w:color w:val="59595B"/>
                <w:sz w:val="18"/>
              </w:rPr>
              <w:t>User Enrollment &amp; VDI Access Training</w:t>
            </w:r>
          </w:p>
        </w:tc>
        <w:tc>
          <w:tcPr>
            <w:tcW w:type="dxa" w:w="2340"/>
          </w:tcPr>
          <w:p>
            <w:r/>
            <w:r>
              <w:rPr>
                <w:rFonts w:ascii="Open Sans" w:hAnsi="Open Sans"/>
                <w:b w:val="0"/>
                <w:i w:val="0"/>
                <w:color w:val="59595B"/>
                <w:sz w:val="18"/>
              </w:rPr>
              <w:t>6</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AFFG-003-007</w:t>
            </w:r>
          </w:p>
        </w:tc>
        <w:tc>
          <w:tcPr>
            <w:tcW w:type="dxa" w:w="2340"/>
          </w:tcPr>
          <w:p>
            <w:r/>
            <w:r>
              <w:rPr>
                <w:rFonts w:ascii="Open Sans" w:hAnsi="Open Sans"/>
                <w:b w:val="0"/>
                <w:i w:val="0"/>
                <w:color w:val="59595B"/>
                <w:sz w:val="18"/>
              </w:rPr>
              <w:t>My Audit UAM+DLP Integration with VDI</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AFFG-003-008</w:t>
            </w:r>
          </w:p>
        </w:tc>
        <w:tc>
          <w:tcPr>
            <w:tcW w:type="dxa" w:w="2340"/>
          </w:tcPr>
          <w:p>
            <w:r/>
            <w:r>
              <w:rPr>
                <w:rFonts w:ascii="Open Sans" w:hAnsi="Open Sans"/>
                <w:b w:val="0"/>
                <w:i w:val="0"/>
                <w:color w:val="59595B"/>
                <w:sz w:val="18"/>
              </w:rPr>
              <w:t>VDI Network Egress IP Configuration</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IRV-TS1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8 tickets</w:t>
            </w:r>
          </w:p>
        </w:tc>
        <w:tc>
          <w:tcPr>
            <w:tcW w:type="dxa" w:w="2340"/>
            <w:shd w:fill="F8F9FA" w:val="clear"/>
          </w:tcPr>
          <w:p>
            <w:r/>
            <w:r>
              <w:rPr>
                <w:rFonts w:ascii="Open Sans" w:hAnsi="Open Sans"/>
                <w:b/>
                <w:i w:val="0"/>
                <w:color w:val="1A1A2E"/>
                <w:sz w:val="18"/>
              </w:rPr>
              <w:t>30 hrs</w:t>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2 — Access Lockdown (Weeks 3–6)</w:t>
            </w:r>
          </w:p>
        </w:tc>
      </w:tr>
    </w:tbl>
    <w:p>
      <w:pPr>
        <w:spacing w:after="120"/>
      </w:pPr>
      <w:r>
        <w:rPr>
          <w:rFonts w:ascii="Open Sans" w:hAnsi="Open Sans"/>
          <w:b w:val="0"/>
          <w:i w:val="0"/>
          <w:color w:val="59595B"/>
          <w:sz w:val="20"/>
        </w:rPr>
        <w:t>Lock down identity and network perimeters so that production access to AFFG data can only originate from the VDI environment. Phase 2 refines Entra Conditional Access to restrict M365 sign-ins to the VDI egress IPs across all 31 users, submits and activates Schwab Advisor Services and Interactive Brokers IP allowlists, blocks legacy authentication protocols, and deploys CrowdStrike Falcon EDR and Huntress Managed Detection inside each VDI desktop with Technijian SOC forwarding.</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r>
              <w:rPr>
                <w:rFonts w:ascii="Open Sans" w:hAnsi="Open Sans"/>
                <w:b w:val="0"/>
                <w:i w:val="0"/>
                <w:color w:val="59595B"/>
                <w:sz w:val="18"/>
              </w:rPr>
              <w:t>AFFG-003-009</w:t>
            </w:r>
          </w:p>
        </w:tc>
        <w:tc>
          <w:tcPr>
            <w:tcW w:type="dxa" w:w="2340"/>
          </w:tcPr>
          <w:p>
            <w:r/>
            <w:r>
              <w:rPr>
                <w:rFonts w:ascii="Open Sans" w:hAnsi="Open Sans"/>
                <w:b w:val="0"/>
                <w:i w:val="0"/>
                <w:color w:val="59595B"/>
                <w:sz w:val="18"/>
              </w:rPr>
              <w:t>Entra Conditional Access – VDI-only M365 Sign-ins</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AFFG-003-010</w:t>
            </w:r>
          </w:p>
        </w:tc>
        <w:tc>
          <w:tcPr>
            <w:tcW w:type="dxa" w:w="2340"/>
          </w:tcPr>
          <w:p>
            <w:r/>
            <w:r>
              <w:rPr>
                <w:rFonts w:ascii="Open Sans" w:hAnsi="Open Sans"/>
                <w:b w:val="0"/>
                <w:i w:val="0"/>
                <w:color w:val="59595B"/>
                <w:sz w:val="18"/>
              </w:rPr>
              <w:t>Schwab IP Allowlist Request Processing</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AFFG-003-011</w:t>
            </w:r>
          </w:p>
        </w:tc>
        <w:tc>
          <w:tcPr>
            <w:tcW w:type="dxa" w:w="2340"/>
          </w:tcPr>
          <w:p>
            <w:r/>
            <w:r>
              <w:rPr>
                <w:rFonts w:ascii="Open Sans" w:hAnsi="Open Sans"/>
                <w:b w:val="0"/>
                <w:i w:val="0"/>
                <w:color w:val="59595B"/>
                <w:sz w:val="18"/>
              </w:rPr>
              <w:t>Interactive Brokers IP Allowlist Setup</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AFFG-003-012</w:t>
            </w:r>
          </w:p>
        </w:tc>
        <w:tc>
          <w:tcPr>
            <w:tcW w:type="dxa" w:w="2340"/>
          </w:tcPr>
          <w:p>
            <w:r/>
            <w:r>
              <w:rPr>
                <w:rFonts w:ascii="Open Sans" w:hAnsi="Open Sans"/>
                <w:b w:val="0"/>
                <w:i w:val="0"/>
                <w:color w:val="59595B"/>
                <w:sz w:val="18"/>
              </w:rPr>
              <w:t>Block Legacy Authentication in Entra ID</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AFFG-003-013</w:t>
            </w:r>
          </w:p>
        </w:tc>
        <w:tc>
          <w:tcPr>
            <w:tcW w:type="dxa" w:w="2340"/>
          </w:tcPr>
          <w:p>
            <w:r/>
            <w:r>
              <w:rPr>
                <w:rFonts w:ascii="Open Sans" w:hAnsi="Open Sans"/>
                <w:b w:val="0"/>
                <w:i w:val="0"/>
                <w:color w:val="59595B"/>
                <w:sz w:val="18"/>
              </w:rPr>
              <w:t>Endpoint Protection Deployment on VDI (CrowdStrike + Huntress)</w:t>
            </w:r>
          </w:p>
        </w:tc>
        <w:tc>
          <w:tcPr>
            <w:tcW w:type="dxa" w:w="2340"/>
          </w:tcPr>
          <w:p>
            <w:r/>
            <w:r>
              <w:rPr>
                <w:rFonts w:ascii="Open Sans" w:hAnsi="Open Sans"/>
                <w:b w:val="0"/>
                <w:i w:val="0"/>
                <w:color w:val="59595B"/>
                <w:sz w:val="18"/>
              </w:rPr>
              <w:t>5</w:t>
            </w:r>
          </w:p>
        </w:tc>
        <w:tc>
          <w:tcPr>
            <w:tcW w:type="dxa" w:w="2340"/>
          </w:tcPr>
          <w:p>
            <w:r/>
            <w:r>
              <w:rPr>
                <w:rFonts w:ascii="Open Sans" w:hAnsi="Open Sans"/>
                <w:b w:val="0"/>
                <w:i w:val="0"/>
                <w:color w:val="59595B"/>
                <w:sz w:val="18"/>
              </w:rPr>
              <w:t>CHD-TS1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5 tickets</w:t>
            </w:r>
          </w:p>
        </w:tc>
        <w:tc>
          <w:tcPr>
            <w:tcW w:type="dxa" w:w="2340"/>
            <w:shd w:fill="F8F9FA" w:val="clear"/>
          </w:tcPr>
          <w:p>
            <w:r/>
            <w:r>
              <w:rPr>
                <w:rFonts w:ascii="Open Sans" w:hAnsi="Open Sans"/>
                <w:b/>
                <w:i w:val="0"/>
                <w:color w:val="1A1A2E"/>
                <w:sz w:val="18"/>
              </w:rPr>
              <w:t>15 hrs</w:t>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3 — Data Protection / DLP (Weeks 5–8)</w:t>
            </w:r>
          </w:p>
        </w:tc>
      </w:tr>
    </w:tbl>
    <w:p>
      <w:pPr>
        <w:spacing w:after="120"/>
      </w:pPr>
      <w:r>
        <w:rPr>
          <w:rFonts w:ascii="Open Sans" w:hAnsi="Open Sans"/>
          <w:b w:val="0"/>
          <w:i w:val="0"/>
          <w:color w:val="59595B"/>
          <w:sz w:val="20"/>
        </w:rPr>
        <w:t>Deploy Microsoft 365 Data Loss Prevention across Exchange Online, SharePoint, OneDrive, and Teams. Phase 3 defines custom Sensitive Information Types for Schwab and IBKR account-number patterns, locks down OneDrive external sharing, configures email DLP rules with TLS enforcement for custodian domains, and executes end-to-end exfiltration testing with sign-off by AFFG’s registered principal.</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r>
              <w:rPr>
                <w:rFonts w:ascii="Open Sans" w:hAnsi="Open Sans"/>
                <w:b w:val="0"/>
                <w:i w:val="0"/>
                <w:color w:val="59595B"/>
                <w:sz w:val="18"/>
              </w:rPr>
              <w:t>AFFG-003-014</w:t>
            </w:r>
          </w:p>
        </w:tc>
        <w:tc>
          <w:tcPr>
            <w:tcW w:type="dxa" w:w="2340"/>
          </w:tcPr>
          <w:p>
            <w:r/>
            <w:r>
              <w:rPr>
                <w:rFonts w:ascii="Open Sans" w:hAnsi="Open Sans"/>
                <w:b w:val="0"/>
                <w:i w:val="0"/>
                <w:color w:val="59595B"/>
                <w:sz w:val="18"/>
              </w:rPr>
              <w:t>M365 DLP Policies for PII / SSN / Account Numbers</w:t>
            </w:r>
          </w:p>
        </w:tc>
        <w:tc>
          <w:tcPr>
            <w:tcW w:type="dxa" w:w="2340"/>
          </w:tcPr>
          <w:p>
            <w:r/>
            <w:r>
              <w:rPr>
                <w:rFonts w:ascii="Open Sans" w:hAnsi="Open Sans"/>
                <w:b w:val="0"/>
                <w:i w:val="0"/>
                <w:color w:val="59595B"/>
                <w:sz w:val="18"/>
              </w:rPr>
              <w:t>6</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AFFG-003-015</w:t>
            </w:r>
          </w:p>
        </w:tc>
        <w:tc>
          <w:tcPr>
            <w:tcW w:type="dxa" w:w="2340"/>
          </w:tcPr>
          <w:p>
            <w:r/>
            <w:r>
              <w:rPr>
                <w:rFonts w:ascii="Open Sans" w:hAnsi="Open Sans"/>
                <w:b w:val="0"/>
                <w:i w:val="0"/>
                <w:color w:val="59595B"/>
                <w:sz w:val="18"/>
              </w:rPr>
              <w:t>OneDrive External Sharing Restrictions</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AFFG-003-016</w:t>
            </w:r>
          </w:p>
        </w:tc>
        <w:tc>
          <w:tcPr>
            <w:tcW w:type="dxa" w:w="2340"/>
          </w:tcPr>
          <w:p>
            <w:r/>
            <w:r>
              <w:rPr>
                <w:rFonts w:ascii="Open Sans" w:hAnsi="Open Sans"/>
                <w:b w:val="0"/>
                <w:i w:val="0"/>
                <w:color w:val="59595B"/>
                <w:sz w:val="18"/>
              </w:rPr>
              <w:t>Email DLP Rules Configuration</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AFFG-003-017</w:t>
            </w:r>
          </w:p>
        </w:tc>
        <w:tc>
          <w:tcPr>
            <w:tcW w:type="dxa" w:w="2340"/>
          </w:tcPr>
          <w:p>
            <w:r/>
            <w:r>
              <w:rPr>
                <w:rFonts w:ascii="Open Sans" w:hAnsi="Open Sans"/>
                <w:b w:val="0"/>
                <w:i w:val="0"/>
                <w:color w:val="59595B"/>
                <w:sz w:val="18"/>
              </w:rPr>
              <w:t>Sensitive Information Types (SITs) Setup</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AFFG-003-018</w:t>
            </w:r>
          </w:p>
        </w:tc>
        <w:tc>
          <w:tcPr>
            <w:tcW w:type="dxa" w:w="2340"/>
          </w:tcPr>
          <w:p>
            <w:r/>
            <w:r>
              <w:rPr>
                <w:rFonts w:ascii="Open Sans" w:hAnsi="Open Sans"/>
                <w:b w:val="0"/>
                <w:i w:val="0"/>
                <w:color w:val="59595B"/>
                <w:sz w:val="18"/>
              </w:rPr>
              <w:t>DLP Testing &amp; Validation</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CHD-TS1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5 tickets</w:t>
            </w:r>
          </w:p>
        </w:tc>
        <w:tc>
          <w:tcPr>
            <w:tcW w:type="dxa" w:w="2340"/>
            <w:shd w:fill="F8F9FA" w:val="clear"/>
          </w:tcPr>
          <w:p>
            <w:r/>
            <w:r>
              <w:rPr>
                <w:rFonts w:ascii="Open Sans" w:hAnsi="Open Sans"/>
                <w:b/>
                <w:i w:val="0"/>
                <w:color w:val="1A1A2E"/>
                <w:sz w:val="18"/>
              </w:rPr>
              <w:t>20 hrs</w:t>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4 — V365 Backup (Weeks 7–10)</w:t>
            </w:r>
          </w:p>
        </w:tc>
      </w:tr>
    </w:tbl>
    <w:p>
      <w:pPr>
        <w:spacing w:after="120"/>
      </w:pPr>
      <w:r>
        <w:rPr>
          <w:rFonts w:ascii="Open Sans" w:hAnsi="Open Sans"/>
          <w:b w:val="0"/>
          <w:i w:val="0"/>
          <w:color w:val="59595B"/>
          <w:sz w:val="20"/>
        </w:rPr>
        <w:t>Stand up Veeam 365 Backup against the AFFG Microsoft 365 tenant — Exchange Online mailboxes, SharePoint sites, OneDrive accounts, and Teams data for all 31 users — with a 7-year immutable retention policy on the Backup Storage tier to satisfy SEC Rule 17a-4. Phase 4 also configures the M365 Compliance Center eDiscovery (Standard) workspace and coordinates with AFFG’s existing email-archive platform so long-term mail retention remains authoritative there.</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r>
              <w:rPr>
                <w:rFonts w:ascii="Open Sans" w:hAnsi="Open Sans"/>
                <w:b w:val="0"/>
                <w:i w:val="0"/>
                <w:color w:val="59595B"/>
                <w:sz w:val="18"/>
              </w:rPr>
              <w:t>AFFG-003-019</w:t>
            </w:r>
          </w:p>
        </w:tc>
        <w:tc>
          <w:tcPr>
            <w:tcW w:type="dxa" w:w="2340"/>
          </w:tcPr>
          <w:p>
            <w:r/>
            <w:r>
              <w:rPr>
                <w:rFonts w:ascii="Open Sans" w:hAnsi="Open Sans"/>
                <w:b w:val="0"/>
                <w:i w:val="0"/>
                <w:color w:val="59595B"/>
                <w:sz w:val="18"/>
              </w:rPr>
              <w:t>Veeam 365 Backup Deployment</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AFFG-003-020</w:t>
            </w:r>
          </w:p>
        </w:tc>
        <w:tc>
          <w:tcPr>
            <w:tcW w:type="dxa" w:w="2340"/>
          </w:tcPr>
          <w:p>
            <w:r/>
            <w:r>
              <w:rPr>
                <w:rFonts w:ascii="Open Sans" w:hAnsi="Open Sans"/>
                <w:b w:val="0"/>
                <w:i w:val="0"/>
                <w:color w:val="59595B"/>
                <w:sz w:val="18"/>
              </w:rPr>
              <w:t>Configure 7-Year Retention + Immutability</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AFFG-003-021</w:t>
            </w:r>
          </w:p>
        </w:tc>
        <w:tc>
          <w:tcPr>
            <w:tcW w:type="dxa" w:w="2340"/>
          </w:tcPr>
          <w:p>
            <w:r/>
            <w:r>
              <w:rPr>
                <w:rFonts w:ascii="Open Sans" w:hAnsi="Open Sans"/>
                <w:b w:val="0"/>
                <w:i w:val="0"/>
                <w:color w:val="59595B"/>
                <w:sz w:val="18"/>
              </w:rPr>
              <w:t>eDiscovery Workspace Setup</w:t>
            </w:r>
          </w:p>
        </w:tc>
        <w:tc>
          <w:tcPr>
            <w:tcW w:type="dxa" w:w="2340"/>
          </w:tcPr>
          <w:p>
            <w:r/>
            <w:r>
              <w:rPr>
                <w:rFonts w:ascii="Open Sans" w:hAnsi="Open Sans"/>
                <w:b w:val="0"/>
                <w:i w:val="0"/>
                <w:color w:val="59595B"/>
                <w:sz w:val="18"/>
              </w:rPr>
              <w:t>2</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AFFG-003-022</w:t>
            </w:r>
          </w:p>
        </w:tc>
        <w:tc>
          <w:tcPr>
            <w:tcW w:type="dxa" w:w="2340"/>
          </w:tcPr>
          <w:p>
            <w:r/>
            <w:r>
              <w:rPr>
                <w:rFonts w:ascii="Open Sans" w:hAnsi="Open Sans"/>
                <w:b w:val="0"/>
                <w:i w:val="0"/>
                <w:color w:val="59595B"/>
                <w:sz w:val="18"/>
              </w:rPr>
              <w:t>Coordinate with AFFG's Existing Email Archive</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IRV-TS1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4 tickets</w:t>
            </w:r>
          </w:p>
        </w:tc>
        <w:tc>
          <w:tcPr>
            <w:tcW w:type="dxa" w:w="2340"/>
            <w:shd w:fill="F8F9FA" w:val="clear"/>
          </w:tcPr>
          <w:p>
            <w:r/>
            <w:r>
              <w:rPr>
                <w:rFonts w:ascii="Open Sans" w:hAnsi="Open Sans"/>
                <w:b/>
                <w:i w:val="0"/>
                <w:color w:val="1A1A2E"/>
                <w:sz w:val="18"/>
              </w:rPr>
              <w:t>10 hrs</w:t>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5 — Monitoring &amp; Audit (Weeks 9–12)</w:t>
            </w:r>
          </w:p>
        </w:tc>
      </w:tr>
    </w:tbl>
    <w:p>
      <w:pPr>
        <w:spacing w:after="120"/>
      </w:pPr>
      <w:r>
        <w:rPr>
          <w:rFonts w:ascii="Open Sans" w:hAnsi="Open Sans"/>
          <w:b w:val="0"/>
          <w:i w:val="0"/>
          <w:color w:val="59595B"/>
          <w:sz w:val="20"/>
        </w:rPr>
        <w:t>Bring the supervisory and monitoring surface to full regulator-ready coverage. Phase 5 confirms My Audit UAM+DLP is operational across all 11 VDI desktops, enables detailed Technijian VDI session logging with central forwarding, builds insider-threat and anomaly alerting (off-hours sign-ins, impossible travel, mass-deletion, after-hours DLP), delivers the monthly compliance dashboard PDF, and documents the FINRA Rule 3110 supervisory audit trail architecture anchored on the dedicated-VM per-agent model.</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r>
              <w:rPr>
                <w:rFonts w:ascii="Open Sans" w:hAnsi="Open Sans"/>
                <w:b w:val="0"/>
                <w:i w:val="0"/>
                <w:color w:val="59595B"/>
                <w:sz w:val="18"/>
              </w:rPr>
              <w:t>AFFG-003-023</w:t>
            </w:r>
          </w:p>
        </w:tc>
        <w:tc>
          <w:tcPr>
            <w:tcW w:type="dxa" w:w="2340"/>
          </w:tcPr>
          <w:p>
            <w:r/>
            <w:r>
              <w:rPr>
                <w:rFonts w:ascii="Open Sans" w:hAnsi="Open Sans"/>
                <w:b w:val="0"/>
                <w:i w:val="0"/>
                <w:color w:val="59595B"/>
                <w:sz w:val="18"/>
              </w:rPr>
              <w:t>My Audit UAM+DLP Agent Deployment</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AFFG-003-024</w:t>
            </w:r>
          </w:p>
        </w:tc>
        <w:tc>
          <w:tcPr>
            <w:tcW w:type="dxa" w:w="2340"/>
          </w:tcPr>
          <w:p>
            <w:r/>
            <w:r>
              <w:rPr>
                <w:rFonts w:ascii="Open Sans" w:hAnsi="Open Sans"/>
                <w:b w:val="0"/>
                <w:i w:val="0"/>
                <w:color w:val="59595B"/>
                <w:sz w:val="18"/>
              </w:rPr>
              <w:t>Configure VDI Session Logging</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AFFG-003-025</w:t>
            </w:r>
          </w:p>
        </w:tc>
        <w:tc>
          <w:tcPr>
            <w:tcW w:type="dxa" w:w="2340"/>
          </w:tcPr>
          <w:p>
            <w:r/>
            <w:r>
              <w:rPr>
                <w:rFonts w:ascii="Open Sans" w:hAnsi="Open Sans"/>
                <w:b w:val="0"/>
                <w:i w:val="0"/>
                <w:color w:val="59595B"/>
                <w:sz w:val="18"/>
              </w:rPr>
              <w:t>Insider Threat &amp; Anomaly Alerting</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AFFG-003-026</w:t>
            </w:r>
          </w:p>
        </w:tc>
        <w:tc>
          <w:tcPr>
            <w:tcW w:type="dxa" w:w="2340"/>
          </w:tcPr>
          <w:p>
            <w:r/>
            <w:r>
              <w:rPr>
                <w:rFonts w:ascii="Open Sans" w:hAnsi="Open Sans"/>
                <w:b w:val="0"/>
                <w:i w:val="0"/>
                <w:color w:val="59595B"/>
                <w:sz w:val="18"/>
              </w:rPr>
              <w:t>Build Compliance Dashboard</w:t>
            </w:r>
          </w:p>
        </w:tc>
        <w:tc>
          <w:tcPr>
            <w:tcW w:type="dxa" w:w="2340"/>
          </w:tcPr>
          <w:p>
            <w:r/>
            <w:r>
              <w:rPr>
                <w:rFonts w:ascii="Open Sans" w:hAnsi="Open Sans"/>
                <w:b w:val="0"/>
                <w:i w:val="0"/>
                <w:color w:val="59595B"/>
                <w:sz w:val="18"/>
              </w:rPr>
              <w:t>5</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AFFG-003-027</w:t>
            </w:r>
          </w:p>
        </w:tc>
        <w:tc>
          <w:tcPr>
            <w:tcW w:type="dxa" w:w="2340"/>
          </w:tcPr>
          <w:p>
            <w:r/>
            <w:r>
              <w:rPr>
                <w:rFonts w:ascii="Open Sans" w:hAnsi="Open Sans"/>
                <w:b w:val="0"/>
                <w:i w:val="0"/>
                <w:color w:val="59595B"/>
                <w:sz w:val="18"/>
              </w:rPr>
              <w:t>Supervisory Audit Trail (FINRA 3110) Configuration</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5 tickets</w:t>
            </w:r>
          </w:p>
        </w:tc>
        <w:tc>
          <w:tcPr>
            <w:tcW w:type="dxa" w:w="2340"/>
            <w:shd w:fill="F8F9FA" w:val="clear"/>
          </w:tcPr>
          <w:p>
            <w:r/>
            <w:r>
              <w:rPr>
                <w:rFonts w:ascii="Open Sans" w:hAnsi="Open Sans"/>
                <w:b/>
                <w:i w:val="0"/>
                <w:color w:val="1A1A2E"/>
                <w:sz w:val="18"/>
              </w:rPr>
              <w:t>20 hrs</w:t>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6 — Validation &amp; Testing (Weeks 11–14)</w:t>
            </w:r>
          </w:p>
        </w:tc>
      </w:tr>
    </w:tbl>
    <w:p>
      <w:pPr>
        <w:spacing w:after="120"/>
      </w:pPr>
      <w:r>
        <w:rPr>
          <w:rFonts w:ascii="Open Sans" w:hAnsi="Open Sans"/>
          <w:b w:val="0"/>
          <w:i w:val="0"/>
          <w:color w:val="59595B"/>
          <w:sz w:val="20"/>
        </w:rPr>
        <w:t>Independently validate the control environment. Phase 6 executes a formal penetration test against the VDI environment (external surface, egress/ingress controls, clipboard/drive/USB bypass attempts, cross-VM isolation, session takeover, privilege escalation), deploys Huntress SAT with financial-services-specific phishing content, baselines the first phishing simulation, and closes with a post-implementation gap assessment against the AFFG IT Compliance Strategy.</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r>
              <w:rPr>
                <w:rFonts w:ascii="Open Sans" w:hAnsi="Open Sans"/>
                <w:b w:val="0"/>
                <w:i w:val="0"/>
                <w:color w:val="59595B"/>
                <w:sz w:val="18"/>
              </w:rPr>
              <w:t>AFFG-003-028</w:t>
            </w:r>
          </w:p>
        </w:tc>
        <w:tc>
          <w:tcPr>
            <w:tcW w:type="dxa" w:w="2340"/>
          </w:tcPr>
          <w:p>
            <w:r/>
            <w:r>
              <w:rPr>
                <w:rFonts w:ascii="Open Sans" w:hAnsi="Open Sans"/>
                <w:b w:val="0"/>
                <w:i w:val="0"/>
                <w:color w:val="59595B"/>
                <w:sz w:val="18"/>
              </w:rPr>
              <w:t>Penetration Test of VDI Environment</w:t>
            </w:r>
          </w:p>
        </w:tc>
        <w:tc>
          <w:tcPr>
            <w:tcW w:type="dxa" w:w="2340"/>
          </w:tcPr>
          <w:p>
            <w:r/>
            <w:r>
              <w:rPr>
                <w:rFonts w:ascii="Open Sans" w:hAnsi="Open Sans"/>
                <w:b w:val="0"/>
                <w:i w:val="0"/>
                <w:color w:val="59595B"/>
                <w:sz w:val="18"/>
              </w:rPr>
              <w:t>5</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AFFG-003-029</w:t>
            </w:r>
          </w:p>
        </w:tc>
        <w:tc>
          <w:tcPr>
            <w:tcW w:type="dxa" w:w="2340"/>
          </w:tcPr>
          <w:p>
            <w:r/>
            <w:r>
              <w:rPr>
                <w:rFonts w:ascii="Open Sans" w:hAnsi="Open Sans"/>
                <w:b w:val="0"/>
                <w:i w:val="0"/>
                <w:color w:val="59595B"/>
                <w:sz w:val="18"/>
              </w:rPr>
              <w:t>Huntress SAT Deployment (Security Awareness Training)</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AFFG-003-030</w:t>
            </w:r>
          </w:p>
        </w:tc>
        <w:tc>
          <w:tcPr>
            <w:tcW w:type="dxa" w:w="2340"/>
          </w:tcPr>
          <w:p>
            <w:r/>
            <w:r>
              <w:rPr>
                <w:rFonts w:ascii="Open Sans" w:hAnsi="Open Sans"/>
                <w:b w:val="0"/>
                <w:i w:val="0"/>
                <w:color w:val="59595B"/>
                <w:sz w:val="18"/>
              </w:rPr>
              <w:t>Phishing Simulation Setup &amp; Baseline</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AFFG-003-031</w:t>
            </w:r>
          </w:p>
        </w:tc>
        <w:tc>
          <w:tcPr>
            <w:tcW w:type="dxa" w:w="2340"/>
          </w:tcPr>
          <w:p>
            <w:r/>
            <w:r>
              <w:rPr>
                <w:rFonts w:ascii="Open Sans" w:hAnsi="Open Sans"/>
                <w:b w:val="0"/>
                <w:i w:val="0"/>
                <w:color w:val="59595B"/>
                <w:sz w:val="18"/>
              </w:rPr>
              <w:t>Post-Implementation Compliance Gap Assessment</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4 tickets</w:t>
            </w:r>
          </w:p>
        </w:tc>
        <w:tc>
          <w:tcPr>
            <w:tcW w:type="dxa" w:w="2340"/>
            <w:shd w:fill="F8F9FA" w:val="clear"/>
          </w:tcPr>
          <w:p>
            <w:r/>
            <w:r>
              <w:rPr>
                <w:rFonts w:ascii="Open Sans" w:hAnsi="Open Sans"/>
                <w:b/>
                <w:i w:val="0"/>
                <w:color w:val="1A1A2E"/>
                <w:sz w:val="18"/>
              </w:rPr>
              <w:t>15 hrs</w:t>
            </w:r>
          </w:p>
        </w:tc>
        <w:tc>
          <w:tcPr>
            <w:tcW w:type="dxa" w:w="2340"/>
            <w:shd w:fill="F8F9FA" w:val="clear"/>
          </w:tcPr>
          <w:p>
            <w:r/>
            <w:r>
              <w:rPr>
                <w:rFonts w:ascii="Open Sans" w:hAnsi="Open Sans"/>
                <w:b/>
                <w:i w:val="0"/>
                <w:color w:val="1A1A2E"/>
                <w:sz w:val="18"/>
              </w:rPr>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Phase 7 — Policy &amp; Compliance Docs (Weeks 13–18)</w:t>
            </w:r>
          </w:p>
        </w:tc>
      </w:tr>
    </w:tbl>
    <w:p>
      <w:pPr>
        <w:spacing w:after="120"/>
      </w:pPr>
      <w:r>
        <w:rPr>
          <w:rFonts w:ascii="Open Sans" w:hAnsi="Open Sans"/>
          <w:b w:val="0"/>
          <w:i w:val="0"/>
          <w:color w:val="59595B"/>
          <w:sz w:val="20"/>
        </w:rPr>
        <w:t>Produce the regulator-ready documentation set. Phase 7 drafts the Written Incident Response Plan, breach notification procedures and templates (SEC Reg S-P 30-day customer, California Civil Code 1798.82 state AG, FINRA, and custodian), the Service Provider Oversight Policy (incorporating the SEC Reg S-P 72-hour vendor-incident notification clause), the BCP Customer Disclosure (FINRA Rule 4370) plus the Customer Information Disposal Policy, the annual sign-off process, and final packaging of all deliverables into the AFFG regulator-ready compliance binder.</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Ticket ID</w:t>
            </w:r>
          </w:p>
        </w:tc>
        <w:tc>
          <w:tcPr>
            <w:tcW w:type="dxa" w:w="2340"/>
            <w:shd w:fill="006DB6" w:val="clear"/>
          </w:tcPr>
          <w:p>
            <w:r/>
            <w:r>
              <w:rPr>
                <w:rFonts w:ascii="Open Sans" w:hAnsi="Open Sans"/>
                <w:b/>
                <w:i w:val="0"/>
                <w:color w:val="FFFFFF"/>
                <w:sz w:val="18"/>
              </w:rPr>
              <w:t>Title</w:t>
            </w:r>
          </w:p>
        </w:tc>
        <w:tc>
          <w:tcPr>
            <w:tcW w:type="dxa" w:w="2340"/>
            <w:shd w:fill="006DB6" w:val="clear"/>
          </w:tcPr>
          <w:p>
            <w:r/>
            <w:r>
              <w:rPr>
                <w:rFonts w:ascii="Open Sans" w:hAnsi="Open Sans"/>
                <w:b/>
                <w:i w:val="0"/>
                <w:color w:val="FFFFFF"/>
                <w:sz w:val="18"/>
              </w:rPr>
              <w:t>Est Hours</w:t>
            </w:r>
          </w:p>
        </w:tc>
        <w:tc>
          <w:tcPr>
            <w:tcW w:type="dxa" w:w="2340"/>
            <w:shd w:fill="006DB6" w:val="clear"/>
          </w:tcPr>
          <w:p>
            <w:r/>
            <w:r>
              <w:rPr>
                <w:rFonts w:ascii="Open Sans" w:hAnsi="Open Sans"/>
                <w:b/>
                <w:i w:val="0"/>
                <w:color w:val="FFFFFF"/>
                <w:sz w:val="18"/>
              </w:rPr>
              <w:t>Assignee</w:t>
            </w:r>
          </w:p>
        </w:tc>
      </w:tr>
      <w:tr>
        <w:tc>
          <w:tcPr>
            <w:tcW w:type="dxa" w:w="2340"/>
          </w:tcPr>
          <w:p>
            <w:r/>
            <w:r>
              <w:rPr>
                <w:rFonts w:ascii="Open Sans" w:hAnsi="Open Sans"/>
                <w:b w:val="0"/>
                <w:i w:val="0"/>
                <w:color w:val="59595B"/>
                <w:sz w:val="18"/>
              </w:rPr>
              <w:t>AFFG-003-032</w:t>
            </w:r>
          </w:p>
        </w:tc>
        <w:tc>
          <w:tcPr>
            <w:tcW w:type="dxa" w:w="2340"/>
          </w:tcPr>
          <w:p>
            <w:r/>
            <w:r>
              <w:rPr>
                <w:rFonts w:ascii="Open Sans" w:hAnsi="Open Sans"/>
                <w:b w:val="0"/>
                <w:i w:val="0"/>
                <w:color w:val="59595B"/>
                <w:sz w:val="18"/>
              </w:rPr>
              <w:t>Written Incident Response Plan (IRP)</w:t>
            </w:r>
          </w:p>
        </w:tc>
        <w:tc>
          <w:tcPr>
            <w:tcW w:type="dxa" w:w="2340"/>
          </w:tcPr>
          <w:p>
            <w:r/>
            <w:r>
              <w:rPr>
                <w:rFonts w:ascii="Open Sans" w:hAnsi="Open Sans"/>
                <w:b w:val="0"/>
                <w:i w:val="0"/>
                <w:color w:val="59595B"/>
                <w:sz w:val="18"/>
              </w:rPr>
              <w:t>5</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AFFG-003-033</w:t>
            </w:r>
          </w:p>
        </w:tc>
        <w:tc>
          <w:tcPr>
            <w:tcW w:type="dxa" w:w="2340"/>
          </w:tcPr>
          <w:p>
            <w:r/>
            <w:r>
              <w:rPr>
                <w:rFonts w:ascii="Open Sans" w:hAnsi="Open Sans"/>
                <w:b w:val="0"/>
                <w:i w:val="0"/>
                <w:color w:val="59595B"/>
                <w:sz w:val="18"/>
              </w:rPr>
              <w:t>Breach Notification Procedures &amp; Templates</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AFFG-003-034</w:t>
            </w:r>
          </w:p>
        </w:tc>
        <w:tc>
          <w:tcPr>
            <w:tcW w:type="dxa" w:w="2340"/>
          </w:tcPr>
          <w:p>
            <w:r/>
            <w:r>
              <w:rPr>
                <w:rFonts w:ascii="Open Sans" w:hAnsi="Open Sans"/>
                <w:b w:val="0"/>
                <w:i w:val="0"/>
                <w:color w:val="59595B"/>
                <w:sz w:val="18"/>
              </w:rPr>
              <w:t>Service Provider Oversight Policy (72-hour clause)</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AFFG-003-035</w:t>
            </w:r>
          </w:p>
        </w:tc>
        <w:tc>
          <w:tcPr>
            <w:tcW w:type="dxa" w:w="2340"/>
          </w:tcPr>
          <w:p>
            <w:r/>
            <w:r>
              <w:rPr>
                <w:rFonts w:ascii="Open Sans" w:hAnsi="Open Sans"/>
                <w:b w:val="0"/>
                <w:i w:val="0"/>
                <w:color w:val="59595B"/>
                <w:sz w:val="18"/>
              </w:rPr>
              <w:t>BCP Customer Disclosure + Info Disposal</w:t>
            </w:r>
          </w:p>
        </w:tc>
        <w:tc>
          <w:tcPr>
            <w:tcW w:type="dxa" w:w="2340"/>
          </w:tcPr>
          <w:p>
            <w:r/>
            <w:r>
              <w:rPr>
                <w:rFonts w:ascii="Open Sans" w:hAnsi="Open Sans"/>
                <w:b w:val="0"/>
                <w:i w:val="0"/>
                <w:color w:val="59595B"/>
                <w:sz w:val="18"/>
              </w:rPr>
              <w:t>4</w:t>
            </w:r>
          </w:p>
        </w:tc>
        <w:tc>
          <w:tcPr>
            <w:tcW w:type="dxa" w:w="2340"/>
          </w:tcPr>
          <w:p>
            <w:r/>
            <w:r>
              <w:rPr>
                <w:rFonts w:ascii="Open Sans" w:hAnsi="Open Sans"/>
                <w:b w:val="0"/>
                <w:i w:val="0"/>
                <w:color w:val="59595B"/>
                <w:sz w:val="18"/>
              </w:rPr>
              <w:t>IRV-TS1</w:t>
            </w:r>
          </w:p>
        </w:tc>
      </w:tr>
      <w:tr>
        <w:tc>
          <w:tcPr>
            <w:tcW w:type="dxa" w:w="2340"/>
          </w:tcPr>
          <w:p>
            <w:r/>
            <w:r>
              <w:rPr>
                <w:rFonts w:ascii="Open Sans" w:hAnsi="Open Sans"/>
                <w:b w:val="0"/>
                <w:i w:val="0"/>
                <w:color w:val="59595B"/>
                <w:sz w:val="18"/>
              </w:rPr>
              <w:t>AFFG-003-036</w:t>
            </w:r>
          </w:p>
        </w:tc>
        <w:tc>
          <w:tcPr>
            <w:tcW w:type="dxa" w:w="2340"/>
          </w:tcPr>
          <w:p>
            <w:r/>
            <w:r>
              <w:rPr>
                <w:rFonts w:ascii="Open Sans" w:hAnsi="Open Sans"/>
                <w:b w:val="0"/>
                <w:i w:val="0"/>
                <w:color w:val="59595B"/>
                <w:sz w:val="18"/>
              </w:rPr>
              <w:t>Annual Sign-off &amp; Policy Documentation Process</w:t>
            </w:r>
          </w:p>
        </w:tc>
        <w:tc>
          <w:tcPr>
            <w:tcW w:type="dxa" w:w="2340"/>
          </w:tcPr>
          <w:p>
            <w:r/>
            <w:r>
              <w:rPr>
                <w:rFonts w:ascii="Open Sans" w:hAnsi="Open Sans"/>
                <w:b w:val="0"/>
                <w:i w:val="0"/>
                <w:color w:val="59595B"/>
                <w:sz w:val="18"/>
              </w:rPr>
              <w:t>5</w:t>
            </w:r>
          </w:p>
        </w:tc>
        <w:tc>
          <w:tcPr>
            <w:tcW w:type="dxa" w:w="2340"/>
          </w:tcPr>
          <w:p>
            <w:r/>
            <w:r>
              <w:rPr>
                <w:rFonts w:ascii="Open Sans" w:hAnsi="Open Sans"/>
                <w:b w:val="0"/>
                <w:i w:val="0"/>
                <w:color w:val="59595B"/>
                <w:sz w:val="18"/>
              </w:rPr>
              <w:t>CHD-TS1</w:t>
            </w:r>
          </w:p>
        </w:tc>
      </w:tr>
      <w:tr>
        <w:tc>
          <w:tcPr>
            <w:tcW w:type="dxa" w:w="2340"/>
          </w:tcPr>
          <w:p>
            <w:r/>
            <w:r>
              <w:rPr>
                <w:rFonts w:ascii="Open Sans" w:hAnsi="Open Sans"/>
                <w:b w:val="0"/>
                <w:i w:val="0"/>
                <w:color w:val="59595B"/>
                <w:sz w:val="18"/>
              </w:rPr>
              <w:t>AFFG-003-037</w:t>
            </w:r>
          </w:p>
        </w:tc>
        <w:tc>
          <w:tcPr>
            <w:tcW w:type="dxa" w:w="2340"/>
          </w:tcPr>
          <w:p>
            <w:r/>
            <w:r>
              <w:rPr>
                <w:rFonts w:ascii="Open Sans" w:hAnsi="Open Sans"/>
                <w:b w:val="0"/>
                <w:i w:val="0"/>
                <w:color w:val="59595B"/>
                <w:sz w:val="18"/>
              </w:rPr>
              <w:t>Final Compliance Document Packaging &amp; Delivery</w:t>
            </w:r>
          </w:p>
        </w:tc>
        <w:tc>
          <w:tcPr>
            <w:tcW w:type="dxa" w:w="2340"/>
          </w:tcPr>
          <w:p>
            <w:r/>
            <w:r>
              <w:rPr>
                <w:rFonts w:ascii="Open Sans" w:hAnsi="Open Sans"/>
                <w:b w:val="0"/>
                <w:i w:val="0"/>
                <w:color w:val="59595B"/>
                <w:sz w:val="18"/>
              </w:rPr>
              <w:t>3</w:t>
            </w:r>
          </w:p>
        </w:tc>
        <w:tc>
          <w:tcPr>
            <w:tcW w:type="dxa" w:w="2340"/>
          </w:tcPr>
          <w:p>
            <w:r/>
            <w:r>
              <w:rPr>
                <w:rFonts w:ascii="Open Sans" w:hAnsi="Open Sans"/>
                <w:b w:val="0"/>
                <w:i w:val="0"/>
                <w:color w:val="59595B"/>
                <w:sz w:val="18"/>
              </w:rPr>
              <w:t>CHD-TS1</w:t>
            </w:r>
          </w:p>
        </w:tc>
      </w:tr>
      <w:tr>
        <w:tc>
          <w:tcPr>
            <w:tcW w:type="dxa" w:w="2340"/>
            <w:shd w:fill="F8F9FA" w:val="clear"/>
          </w:tcPr>
          <w:p>
            <w:r/>
            <w:r>
              <w:rPr>
                <w:rFonts w:ascii="Open Sans" w:hAnsi="Open Sans"/>
                <w:b/>
                <w:i w:val="0"/>
                <w:color w:val="1A1A2E"/>
                <w:sz w:val="18"/>
              </w:rPr>
              <w:t>Phase Subtotal</w:t>
            </w:r>
          </w:p>
        </w:tc>
        <w:tc>
          <w:tcPr>
            <w:tcW w:type="dxa" w:w="2340"/>
            <w:shd w:fill="F8F9FA" w:val="clear"/>
          </w:tcPr>
          <w:p>
            <w:r/>
            <w:r>
              <w:rPr>
                <w:rFonts w:ascii="Open Sans" w:hAnsi="Open Sans"/>
                <w:b/>
                <w:i w:val="0"/>
                <w:color w:val="1A1A2E"/>
                <w:sz w:val="18"/>
              </w:rPr>
              <w:t>6 tickets</w:t>
            </w:r>
          </w:p>
        </w:tc>
        <w:tc>
          <w:tcPr>
            <w:tcW w:type="dxa" w:w="2340"/>
            <w:shd w:fill="F8F9FA" w:val="clear"/>
          </w:tcPr>
          <w:p>
            <w:r/>
            <w:r>
              <w:rPr>
                <w:rFonts w:ascii="Open Sans" w:hAnsi="Open Sans"/>
                <w:b/>
                <w:i w:val="0"/>
                <w:color w:val="1A1A2E"/>
                <w:sz w:val="18"/>
              </w:rPr>
              <w:t>25 hrs</w:t>
            </w:r>
          </w:p>
        </w:tc>
        <w:tc>
          <w:tcPr>
            <w:tcW w:type="dxa" w:w="2340"/>
            <w:shd w:fill="F8F9FA" w:val="clear"/>
          </w:tcPr>
          <w:p>
            <w:r/>
            <w:r>
              <w:rPr>
                <w:rFonts w:ascii="Open Sans" w:hAnsi="Open Sans"/>
                <w:b/>
                <w:i w:val="0"/>
                <w:color w:val="1A1A2E"/>
                <w:sz w:val="18"/>
              </w:rPr>
            </w:r>
          </w:p>
        </w:tc>
      </w:tr>
    </w:tbl>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 Regulatory Control Mapping</w:t>
            </w:r>
          </w:p>
        </w:tc>
      </w:tr>
    </w:tbl>
    <w:p>
      <w:pPr>
        <w:spacing w:after="120"/>
      </w:pPr>
      <w:r>
        <w:rPr>
          <w:rFonts w:ascii="Open Sans" w:hAnsi="Open Sans"/>
          <w:b w:val="0"/>
          <w:i w:val="0"/>
          <w:color w:val="59595B"/>
          <w:sz w:val="20"/>
        </w:rPr>
        <w:t>The table below maps the deliverables of this SOW against the AFFG IT Compliance Strategy regulatory coverage (REF: AFFG-CS-2026-04).</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3120"/>
        <w:gridCol w:w="3120"/>
        <w:gridCol w:w="3120"/>
      </w:tblGrid>
      <w:tr>
        <w:tc>
          <w:tcPr>
            <w:tcW w:type="dxa" w:w="3120"/>
            <w:shd w:fill="006DB6" w:val="clear"/>
          </w:tcPr>
          <w:p>
            <w:r/>
            <w:r>
              <w:rPr>
                <w:rFonts w:ascii="Open Sans" w:hAnsi="Open Sans"/>
                <w:b/>
                <w:i w:val="0"/>
                <w:color w:val="FFFFFF"/>
                <w:sz w:val="18"/>
              </w:rPr>
              <w:t>Regulation</w:t>
            </w:r>
          </w:p>
        </w:tc>
        <w:tc>
          <w:tcPr>
            <w:tcW w:type="dxa" w:w="3120"/>
            <w:shd w:fill="006DB6" w:val="clear"/>
          </w:tcPr>
          <w:p>
            <w:r/>
            <w:r>
              <w:rPr>
                <w:rFonts w:ascii="Open Sans" w:hAnsi="Open Sans"/>
                <w:b/>
                <w:i w:val="0"/>
                <w:color w:val="FFFFFF"/>
                <w:sz w:val="18"/>
              </w:rPr>
              <w:t>Requirements Covered</w:t>
            </w:r>
          </w:p>
        </w:tc>
        <w:tc>
          <w:tcPr>
            <w:tcW w:type="dxa" w:w="3120"/>
            <w:shd w:fill="006DB6" w:val="clear"/>
          </w:tcPr>
          <w:p>
            <w:r/>
            <w:r>
              <w:rPr>
                <w:rFonts w:ascii="Open Sans" w:hAnsi="Open Sans"/>
                <w:b/>
                <w:i w:val="0"/>
                <w:color w:val="FFFFFF"/>
                <w:sz w:val="18"/>
              </w:rPr>
              <w:t>Primary Control(s)</w:t>
            </w:r>
          </w:p>
        </w:tc>
      </w:tr>
      <w:tr>
        <w:tc>
          <w:tcPr>
            <w:tcW w:type="dxa" w:w="3120"/>
          </w:tcPr>
          <w:p>
            <w:r/>
            <w:r>
              <w:rPr>
                <w:rFonts w:ascii="Open Sans" w:hAnsi="Open Sans"/>
                <w:b w:val="0"/>
                <w:i w:val="0"/>
                <w:color w:val="59595B"/>
                <w:sz w:val="18"/>
              </w:rPr>
              <w:t>SEC Regulation S-P (2024 Amendments)</w:t>
            </w:r>
          </w:p>
        </w:tc>
        <w:tc>
          <w:tcPr>
            <w:tcW w:type="dxa" w:w="3120"/>
          </w:tcPr>
          <w:p>
            <w:r/>
            <w:r>
              <w:rPr>
                <w:rFonts w:ascii="Open Sans" w:hAnsi="Open Sans"/>
                <w:b w:val="0"/>
                <w:i w:val="0"/>
                <w:color w:val="59595B"/>
                <w:sz w:val="18"/>
              </w:rPr>
              <w:t>10 of 10</w:t>
            </w:r>
          </w:p>
        </w:tc>
        <w:tc>
          <w:tcPr>
            <w:tcW w:type="dxa" w:w="3120"/>
          </w:tcPr>
          <w:p>
            <w:r/>
            <w:r>
              <w:rPr>
                <w:rFonts w:ascii="Open Sans" w:hAnsi="Open Sans"/>
                <w:b w:val="0"/>
                <w:i w:val="0"/>
                <w:color w:val="59595B"/>
                <w:sz w:val="18"/>
              </w:rPr>
              <w:t>VDI isolation, DLP, MFA, CCPA-aligned incident response, 30-day customer breach notification, disposal rule, service-provider oversight</w:t>
            </w:r>
          </w:p>
        </w:tc>
      </w:tr>
      <w:tr>
        <w:tc>
          <w:tcPr>
            <w:tcW w:type="dxa" w:w="3120"/>
          </w:tcPr>
          <w:p>
            <w:r/>
            <w:r>
              <w:rPr>
                <w:rFonts w:ascii="Open Sans" w:hAnsi="Open Sans"/>
                <w:b w:val="0"/>
                <w:i w:val="0"/>
                <w:color w:val="59595B"/>
                <w:sz w:val="18"/>
              </w:rPr>
              <w:t>FINRA Rule 4370</w:t>
            </w:r>
          </w:p>
        </w:tc>
        <w:tc>
          <w:tcPr>
            <w:tcW w:type="dxa" w:w="3120"/>
          </w:tcPr>
          <w:p>
            <w:r/>
            <w:r>
              <w:rPr>
                <w:rFonts w:ascii="Open Sans" w:hAnsi="Open Sans"/>
                <w:b w:val="0"/>
                <w:i w:val="0"/>
                <w:color w:val="59595B"/>
                <w:sz w:val="18"/>
              </w:rPr>
              <w:t>2 of 2</w:t>
            </w:r>
          </w:p>
        </w:tc>
        <w:tc>
          <w:tcPr>
            <w:tcW w:type="dxa" w:w="3120"/>
          </w:tcPr>
          <w:p>
            <w:r/>
            <w:r>
              <w:rPr>
                <w:rFonts w:ascii="Open Sans" w:hAnsi="Open Sans"/>
                <w:b w:val="0"/>
                <w:i w:val="0"/>
                <w:color w:val="59595B"/>
                <w:sz w:val="18"/>
              </w:rPr>
              <w:t>BCP customer disclosure, documented business continuity + recovery in Technijian environment</w:t>
            </w:r>
          </w:p>
        </w:tc>
      </w:tr>
      <w:tr>
        <w:tc>
          <w:tcPr>
            <w:tcW w:type="dxa" w:w="3120"/>
          </w:tcPr>
          <w:p>
            <w:r/>
            <w:r>
              <w:rPr>
                <w:rFonts w:ascii="Open Sans" w:hAnsi="Open Sans"/>
                <w:b w:val="0"/>
                <w:i w:val="0"/>
                <w:color w:val="59595B"/>
                <w:sz w:val="18"/>
              </w:rPr>
              <w:t>FINRA Rule 3110</w:t>
            </w:r>
          </w:p>
        </w:tc>
        <w:tc>
          <w:tcPr>
            <w:tcW w:type="dxa" w:w="3120"/>
          </w:tcPr>
          <w:p>
            <w:r/>
            <w:r>
              <w:rPr>
                <w:rFonts w:ascii="Open Sans" w:hAnsi="Open Sans"/>
                <w:b w:val="0"/>
                <w:i w:val="0"/>
                <w:color w:val="59595B"/>
                <w:sz w:val="18"/>
              </w:rPr>
              <w:t>3 of 3</w:t>
            </w:r>
          </w:p>
        </w:tc>
        <w:tc>
          <w:tcPr>
            <w:tcW w:type="dxa" w:w="3120"/>
          </w:tcPr>
          <w:p>
            <w:r/>
            <w:r>
              <w:rPr>
                <w:rFonts w:ascii="Open Sans" w:hAnsi="Open Sans"/>
                <w:b w:val="0"/>
                <w:i w:val="0"/>
                <w:color w:val="59595B"/>
                <w:sz w:val="18"/>
              </w:rPr>
              <w:t>Per-agent dedicated VMs, individual accountability, supervisory audit trail with immutable retention</w:t>
            </w:r>
          </w:p>
        </w:tc>
      </w:tr>
      <w:tr>
        <w:tc>
          <w:tcPr>
            <w:tcW w:type="dxa" w:w="3120"/>
          </w:tcPr>
          <w:p>
            <w:r/>
            <w:r>
              <w:rPr>
                <w:rFonts w:ascii="Open Sans" w:hAnsi="Open Sans"/>
                <w:b w:val="0"/>
                <w:i w:val="0"/>
                <w:color w:val="59595B"/>
                <w:sz w:val="18"/>
              </w:rPr>
              <w:t>SEC Rule 17a-4</w:t>
            </w:r>
          </w:p>
        </w:tc>
        <w:tc>
          <w:tcPr>
            <w:tcW w:type="dxa" w:w="3120"/>
          </w:tcPr>
          <w:p>
            <w:r/>
            <w:r>
              <w:rPr>
                <w:rFonts w:ascii="Open Sans" w:hAnsi="Open Sans"/>
                <w:b w:val="0"/>
                <w:i w:val="0"/>
                <w:color w:val="59595B"/>
                <w:sz w:val="18"/>
              </w:rPr>
              <w:t>3 of 3</w:t>
            </w:r>
          </w:p>
        </w:tc>
        <w:tc>
          <w:tcPr>
            <w:tcW w:type="dxa" w:w="3120"/>
          </w:tcPr>
          <w:p>
            <w:r/>
            <w:r>
              <w:rPr>
                <w:rFonts w:ascii="Open Sans" w:hAnsi="Open Sans"/>
                <w:b w:val="0"/>
                <w:i w:val="0"/>
                <w:color w:val="59595B"/>
                <w:sz w:val="18"/>
              </w:rPr>
              <w:t>7-year immutable retention on V365 Backup storage, coordinated archival with AFFG’s existing email archive, eDiscovery workspace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4. Deliverables</w:t>
            </w:r>
          </w:p>
        </w:tc>
      </w:tr>
    </w:tbl>
    <w:p>
      <w:pPr>
        <w:pStyle w:val="ListBullet"/>
        <w:spacing w:after="40"/>
      </w:pPr>
      <w:r>
        <w:rPr>
          <w:rFonts w:ascii="Open Sans" w:hAnsi="Open Sans"/>
          <w:b w:val="0"/>
          <w:i w:val="0"/>
          <w:color w:val="59595B"/>
          <w:sz w:val="20"/>
        </w:rPr>
        <w:t>Live Technijian VDI environment with 11 dedicated Windows 11 personal desktops</w:t>
      </w:r>
    </w:p>
    <w:p>
      <w:pPr>
        <w:pStyle w:val="ListBullet"/>
        <w:spacing w:after="40"/>
      </w:pPr>
      <w:r>
        <w:rPr>
          <w:rFonts w:ascii="Open Sans" w:hAnsi="Open Sans"/>
          <w:b w:val="0"/>
          <w:i w:val="0"/>
          <w:color w:val="59595B"/>
          <w:sz w:val="20"/>
        </w:rPr>
        <w:t>VDI egress IP allowlists approved and active at Schwab Advisor Services and Interactive Brokers</w:t>
      </w:r>
    </w:p>
    <w:p>
      <w:pPr>
        <w:pStyle w:val="ListBullet"/>
        <w:spacing w:after="40"/>
      </w:pPr>
      <w:r>
        <w:rPr>
          <w:rFonts w:ascii="Open Sans" w:hAnsi="Open Sans"/>
          <w:b w:val="0"/>
          <w:i w:val="0"/>
          <w:color w:val="59595B"/>
          <w:sz w:val="20"/>
        </w:rPr>
        <w:t>M365 DLP policies deployed across Exchange Online, SharePoint, OneDrive, and Teams, with custom Sensitive Information Types for Schwab and IBKR</w:t>
      </w:r>
    </w:p>
    <w:p>
      <w:pPr>
        <w:pStyle w:val="ListBullet"/>
        <w:spacing w:after="40"/>
      </w:pPr>
      <w:r>
        <w:rPr>
          <w:rFonts w:ascii="Open Sans" w:hAnsi="Open Sans"/>
          <w:b w:val="0"/>
          <w:i w:val="0"/>
          <w:color w:val="59595B"/>
          <w:sz w:val="20"/>
        </w:rPr>
        <w:t>Veeam 365 Backup operational with 7-year immutable retention (SEC 17a-4)</w:t>
      </w:r>
    </w:p>
    <w:p>
      <w:pPr>
        <w:pStyle w:val="ListBullet"/>
        <w:spacing w:after="40"/>
      </w:pPr>
      <w:r>
        <w:rPr>
          <w:rFonts w:ascii="Open Sans" w:hAnsi="Open Sans"/>
          <w:b w:val="0"/>
          <w:i w:val="0"/>
          <w:color w:val="59595B"/>
          <w:sz w:val="20"/>
        </w:rPr>
        <w:t>My Audit UAM+DLP agents deployed across all 11 VDI desktops with 1-year retention</w:t>
      </w:r>
    </w:p>
    <w:p>
      <w:pPr>
        <w:pStyle w:val="ListBullet"/>
        <w:spacing w:after="40"/>
      </w:pPr>
      <w:r>
        <w:rPr>
          <w:rFonts w:ascii="Open Sans" w:hAnsi="Open Sans"/>
          <w:b w:val="0"/>
          <w:i w:val="0"/>
          <w:color w:val="59595B"/>
          <w:sz w:val="20"/>
        </w:rPr>
        <w:t>Monthly compliance dashboard PDF (MFA rate, DLP events, VDI uptime, backup success, pen-test status, phishing completion)</w:t>
      </w:r>
    </w:p>
    <w:p>
      <w:pPr>
        <w:pStyle w:val="ListBullet"/>
        <w:spacing w:after="40"/>
      </w:pPr>
      <w:r>
        <w:rPr>
          <w:rFonts w:ascii="Open Sans" w:hAnsi="Open Sans"/>
          <w:b w:val="0"/>
          <w:i w:val="0"/>
          <w:color w:val="59595B"/>
          <w:sz w:val="20"/>
        </w:rPr>
        <w:t>Penetration test report covering VDI external surface, egress controls, isolation, and privilege escalation</w:t>
      </w:r>
    </w:p>
    <w:p>
      <w:pPr>
        <w:pStyle w:val="ListBullet"/>
        <w:spacing w:after="40"/>
      </w:pPr>
      <w:r>
        <w:rPr>
          <w:rFonts w:ascii="Open Sans" w:hAnsi="Open Sans"/>
          <w:b w:val="0"/>
          <w:i w:val="0"/>
          <w:color w:val="59595B"/>
          <w:sz w:val="20"/>
        </w:rPr>
        <w:t>Written Incident Response Plan (IRP)</w:t>
      </w:r>
    </w:p>
    <w:p>
      <w:pPr>
        <w:pStyle w:val="ListBullet"/>
        <w:spacing w:after="40"/>
      </w:pPr>
      <w:r>
        <w:rPr>
          <w:rFonts w:ascii="Open Sans" w:hAnsi="Open Sans"/>
          <w:b w:val="0"/>
          <w:i w:val="0"/>
          <w:color w:val="59595B"/>
          <w:sz w:val="20"/>
        </w:rPr>
        <w:t>Breach Notification procedures and templates (SEC Reg S-P 30-day, CA Civ. Code 1798.82, FINRA, custodians)</w:t>
      </w:r>
    </w:p>
    <w:p>
      <w:pPr>
        <w:pStyle w:val="ListBullet"/>
        <w:spacing w:after="40"/>
      </w:pPr>
      <w:r>
        <w:rPr>
          <w:rFonts w:ascii="Open Sans" w:hAnsi="Open Sans"/>
          <w:b w:val="0"/>
          <w:i w:val="0"/>
          <w:color w:val="59595B"/>
          <w:sz w:val="20"/>
        </w:rPr>
        <w:t>Service Provider Oversight Policy including the SEC Reg S-P 72-hour vendor incident notification clause</w:t>
      </w:r>
    </w:p>
    <w:p>
      <w:pPr>
        <w:pStyle w:val="ListBullet"/>
        <w:spacing w:after="40"/>
      </w:pPr>
      <w:r>
        <w:rPr>
          <w:rFonts w:ascii="Open Sans" w:hAnsi="Open Sans"/>
          <w:b w:val="0"/>
          <w:i w:val="0"/>
          <w:color w:val="59595B"/>
          <w:sz w:val="20"/>
        </w:rPr>
        <w:t>BCP Customer Disclosure (FINRA Rule 4370) + Customer Information Disposal Policy</w:t>
      </w:r>
    </w:p>
    <w:p>
      <w:pPr>
        <w:pStyle w:val="ListBullet"/>
        <w:spacing w:after="40"/>
      </w:pPr>
      <w:r>
        <w:rPr>
          <w:rFonts w:ascii="Open Sans" w:hAnsi="Open Sans"/>
          <w:b w:val="0"/>
          <w:i w:val="0"/>
          <w:color w:val="59595B"/>
          <w:sz w:val="20"/>
        </w:rPr>
        <w:t>Annual compliance sign-off process (principal attestation, audit evidence package)</w:t>
      </w:r>
    </w:p>
    <w:p>
      <w:pPr>
        <w:pStyle w:val="ListBullet"/>
        <w:spacing w:after="40"/>
      </w:pPr>
      <w:r>
        <w:rPr>
          <w:rFonts w:ascii="Open Sans" w:hAnsi="Open Sans"/>
          <w:b w:val="0"/>
          <w:i w:val="0"/>
          <w:color w:val="59595B"/>
          <w:sz w:val="20"/>
        </w:rPr>
        <w:t>Final regulator-ready compliance binder (encrypted PDF bundle)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 Pricing and Payment</w:t>
            </w:r>
          </w:p>
        </w:tc>
      </w:tr>
    </w:tbl>
    <w:p>
      <w:pPr>
        <w:spacing w:after="120"/>
      </w:pPr>
      <w:r>
        <w:rPr>
          <w:rFonts w:ascii="Open Sans" w:hAnsi="Open Sans"/>
          <w:b w:val="0"/>
          <w:i w:val="0"/>
          <w:color w:val="59595B"/>
          <w:sz w:val="20"/>
        </w:rPr>
        <w:t>Labor for this SOW is billed at the hourly (not contracted) rates shown below. Total estimated labor is 135 hours at $12,795.00.</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Role</w:t>
            </w:r>
          </w:p>
        </w:tc>
        <w:tc>
          <w:tcPr>
            <w:tcW w:type="dxa" w:w="2340"/>
            <w:shd w:fill="006DB6" w:val="clear"/>
          </w:tcPr>
          <w:p>
            <w:r/>
            <w:r>
              <w:rPr>
                <w:rFonts w:ascii="Open Sans" w:hAnsi="Open Sans"/>
                <w:b/>
                <w:i w:val="0"/>
                <w:color w:val="FFFFFF"/>
                <w:sz w:val="18"/>
              </w:rPr>
              <w:t>Rate</w:t>
            </w:r>
          </w:p>
        </w:tc>
        <w:tc>
          <w:tcPr>
            <w:tcW w:type="dxa" w:w="2340"/>
            <w:shd w:fill="006DB6" w:val="clear"/>
          </w:tcPr>
          <w:p>
            <w:r/>
            <w:r>
              <w:rPr>
                <w:rFonts w:ascii="Open Sans" w:hAnsi="Open Sans"/>
                <w:b/>
                <w:i w:val="0"/>
                <w:color w:val="FFFFFF"/>
                <w:sz w:val="18"/>
              </w:rPr>
              <w:t>Hours</w:t>
            </w:r>
          </w:p>
        </w:tc>
        <w:tc>
          <w:tcPr>
            <w:tcW w:type="dxa" w:w="2340"/>
            <w:shd w:fill="006DB6" w:val="clear"/>
          </w:tcPr>
          <w:p>
            <w:r/>
            <w:r>
              <w:rPr>
                <w:rFonts w:ascii="Open Sans" w:hAnsi="Open Sans"/>
                <w:b/>
                <w:i w:val="0"/>
                <w:color w:val="FFFFFF"/>
                <w:sz w:val="18"/>
              </w:rPr>
              <w:t>Labor</w:t>
            </w:r>
          </w:p>
        </w:tc>
      </w:tr>
      <w:tr>
        <w:tc>
          <w:tcPr>
            <w:tcW w:type="dxa" w:w="2340"/>
          </w:tcPr>
          <w:p>
            <w:r/>
            <w:r>
              <w:rPr>
                <w:rFonts w:ascii="Open Sans" w:hAnsi="Open Sans"/>
                <w:b w:val="0"/>
                <w:i w:val="0"/>
                <w:color w:val="59595B"/>
                <w:sz w:val="18"/>
              </w:rPr>
              <w:t>US Tech Support (IRV-TS1)</w:t>
            </w:r>
          </w:p>
        </w:tc>
        <w:tc>
          <w:tcPr>
            <w:tcW w:type="dxa" w:w="2340"/>
          </w:tcPr>
          <w:p>
            <w:r/>
            <w:r>
              <w:rPr>
                <w:rFonts w:ascii="Open Sans" w:hAnsi="Open Sans"/>
                <w:b w:val="0"/>
                <w:i w:val="0"/>
                <w:color w:val="59595B"/>
                <w:sz w:val="18"/>
              </w:rPr>
              <w:t>$150/hr (hourly, not contracted)</w:t>
            </w:r>
          </w:p>
        </w:tc>
        <w:tc>
          <w:tcPr>
            <w:tcW w:type="dxa" w:w="2340"/>
          </w:tcPr>
          <w:p>
            <w:r/>
            <w:r>
              <w:rPr>
                <w:rFonts w:ascii="Open Sans" w:hAnsi="Open Sans"/>
                <w:b w:val="0"/>
                <w:i w:val="0"/>
                <w:color w:val="59595B"/>
                <w:sz w:val="18"/>
              </w:rPr>
              <w:t>64</w:t>
            </w:r>
          </w:p>
        </w:tc>
        <w:tc>
          <w:tcPr>
            <w:tcW w:type="dxa" w:w="2340"/>
          </w:tcPr>
          <w:p>
            <w:r/>
            <w:r>
              <w:rPr>
                <w:rFonts w:ascii="Open Sans" w:hAnsi="Open Sans"/>
                <w:b w:val="0"/>
                <w:i w:val="0"/>
                <w:color w:val="59595B"/>
                <w:sz w:val="18"/>
              </w:rPr>
              <w:t>$9,600.00</w:t>
            </w:r>
          </w:p>
        </w:tc>
      </w:tr>
      <w:tr>
        <w:tc>
          <w:tcPr>
            <w:tcW w:type="dxa" w:w="2340"/>
          </w:tcPr>
          <w:p>
            <w:r/>
            <w:r>
              <w:rPr>
                <w:rFonts w:ascii="Open Sans" w:hAnsi="Open Sans"/>
                <w:b w:val="0"/>
                <w:i w:val="0"/>
                <w:color w:val="59595B"/>
                <w:sz w:val="18"/>
              </w:rPr>
              <w:t>India Tech Support (CHD-TS1)</w:t>
            </w:r>
          </w:p>
        </w:tc>
        <w:tc>
          <w:tcPr>
            <w:tcW w:type="dxa" w:w="2340"/>
          </w:tcPr>
          <w:p>
            <w:r/>
            <w:r>
              <w:rPr>
                <w:rFonts w:ascii="Open Sans" w:hAnsi="Open Sans"/>
                <w:b w:val="0"/>
                <w:i w:val="0"/>
                <w:color w:val="59595B"/>
                <w:sz w:val="18"/>
              </w:rPr>
              <w:t>$45/hr (hourly, not contracted)</w:t>
            </w:r>
          </w:p>
        </w:tc>
        <w:tc>
          <w:tcPr>
            <w:tcW w:type="dxa" w:w="2340"/>
          </w:tcPr>
          <w:p>
            <w:r/>
            <w:r>
              <w:rPr>
                <w:rFonts w:ascii="Open Sans" w:hAnsi="Open Sans"/>
                <w:b w:val="0"/>
                <w:i w:val="0"/>
                <w:color w:val="59595B"/>
                <w:sz w:val="18"/>
              </w:rPr>
              <w:t>71</w:t>
            </w:r>
          </w:p>
        </w:tc>
        <w:tc>
          <w:tcPr>
            <w:tcW w:type="dxa" w:w="2340"/>
          </w:tcPr>
          <w:p>
            <w:r/>
            <w:r>
              <w:rPr>
                <w:rFonts w:ascii="Open Sans" w:hAnsi="Open Sans"/>
                <w:b w:val="0"/>
                <w:i w:val="0"/>
                <w:color w:val="59595B"/>
                <w:sz w:val="18"/>
              </w:rPr>
              <w:t>$3,195.00</w:t>
            </w:r>
          </w:p>
        </w:tc>
      </w:tr>
      <w:tr>
        <w:tc>
          <w:tcPr>
            <w:tcW w:type="dxa" w:w="2340"/>
            <w:shd w:fill="F8F9FA" w:val="clear"/>
          </w:tcPr>
          <w:p>
            <w:r/>
            <w:r>
              <w:rPr>
                <w:rFonts w:ascii="Open Sans" w:hAnsi="Open Sans"/>
                <w:b/>
                <w:i w:val="0"/>
                <w:color w:val="1A1A2E"/>
                <w:sz w:val="18"/>
              </w:rPr>
              <w:t>TOTAL</w:t>
            </w:r>
          </w:p>
        </w:tc>
        <w:tc>
          <w:tcPr>
            <w:tcW w:type="dxa" w:w="2340"/>
            <w:shd w:fill="F8F9FA" w:val="clear"/>
          </w:tcPr>
          <w:p>
            <w:r/>
            <w:r>
              <w:rPr>
                <w:rFonts w:ascii="Open Sans" w:hAnsi="Open Sans"/>
                <w:b/>
                <w:i w:val="0"/>
                <w:color w:val="1A1A2E"/>
                <w:sz w:val="18"/>
              </w:rPr>
            </w:r>
          </w:p>
        </w:tc>
        <w:tc>
          <w:tcPr>
            <w:tcW w:type="dxa" w:w="2340"/>
            <w:shd w:fill="F8F9FA" w:val="clear"/>
          </w:tcPr>
          <w:p>
            <w:r/>
            <w:r>
              <w:rPr>
                <w:rFonts w:ascii="Open Sans" w:hAnsi="Open Sans"/>
                <w:b/>
                <w:i w:val="0"/>
                <w:color w:val="1A1A2E"/>
                <w:sz w:val="18"/>
              </w:rPr>
              <w:t>135 hrs</w:t>
            </w:r>
          </w:p>
        </w:tc>
        <w:tc>
          <w:tcPr>
            <w:tcW w:type="dxa" w:w="2340"/>
            <w:shd w:fill="F8F9FA" w:val="clear"/>
          </w:tcPr>
          <w:p>
            <w:r/>
            <w:r>
              <w:rPr>
                <w:rFonts w:ascii="Open Sans" w:hAnsi="Open Sans"/>
                <w:b/>
                <w:i w:val="0"/>
                <w:color w:val="1A1A2E"/>
                <w:sz w:val="18"/>
              </w:rPr>
              <w:t>$12,795.00</w:t>
            </w:r>
          </w:p>
        </w:tc>
      </w:tr>
    </w:tbl>
    <w:p>
      <w:pPr>
        <w:spacing w:after="80"/>
      </w:pPr>
    </w:p>
    <w:p>
      <w:pPr>
        <w:spacing w:after="60"/>
      </w:pPr>
      <w:r>
        <w:rPr>
          <w:rFonts w:ascii="Open Sans" w:hAnsi="Open Sans"/>
          <w:b/>
          <w:i w:val="0"/>
          <w:color w:val="1A1A2E"/>
          <w:sz w:val="20"/>
        </w:rPr>
        <w:t>Payment Schedule:</w:t>
      </w:r>
      <w:r>
        <w:rPr>
          <w:rFonts w:ascii="Open Sans" w:hAnsi="Open Sans"/>
          <w:b w:val="0"/>
          <w:i w:val="0"/>
          <w:color w:val="59595B"/>
          <w:sz w:val="20"/>
        </w:rPr>
      </w:r>
    </w:p>
    <w:p>
      <w:pPr>
        <w:pStyle w:val="ListBullet"/>
        <w:spacing w:after="40"/>
      </w:pPr>
      <w:r>
        <w:rPr>
          <w:rFonts w:ascii="Open Sans" w:hAnsi="Open Sans"/>
          <w:b w:val="0"/>
          <w:i w:val="0"/>
          <w:color w:val="59595B"/>
          <w:sz w:val="20"/>
        </w:rPr>
        <w:t>50% ($6,397.50) due upon SOW execution</w:t>
      </w:r>
    </w:p>
    <w:p>
      <w:pPr>
        <w:pStyle w:val="ListBullet"/>
        <w:spacing w:after="40"/>
      </w:pPr>
      <w:r>
        <w:rPr>
          <w:rFonts w:ascii="Open Sans" w:hAnsi="Open Sans"/>
          <w:b w:val="0"/>
          <w:i w:val="0"/>
          <w:color w:val="59595B"/>
          <w:sz w:val="20"/>
        </w:rPr>
        <w:t>25% ($3,198.75) upon Phase 4 completion (V365 Backup operational)</w:t>
      </w:r>
    </w:p>
    <w:p>
      <w:pPr>
        <w:pStyle w:val="ListBullet"/>
        <w:spacing w:after="40"/>
      </w:pPr>
      <w:r>
        <w:rPr>
          <w:rFonts w:ascii="Open Sans" w:hAnsi="Open Sans"/>
          <w:b w:val="0"/>
          <w:i w:val="0"/>
          <w:color w:val="59595B"/>
          <w:sz w:val="20"/>
        </w:rPr>
        <w:t>25% ($3,198.75) upon Phase 7 delivery (compliance docs accepted)</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6. Assumptions</w:t>
            </w:r>
          </w:p>
        </w:tc>
      </w:tr>
    </w:tbl>
    <w:p>
      <w:pPr>
        <w:pStyle w:val="ListBullet"/>
        <w:spacing w:after="40"/>
      </w:pPr>
      <w:r>
        <w:rPr>
          <w:rFonts w:ascii="Open Sans" w:hAnsi="Open Sans"/>
          <w:b w:val="0"/>
          <w:i w:val="0"/>
          <w:color w:val="59595B"/>
          <w:sz w:val="20"/>
        </w:rPr>
        <w:t>AFFG provides administrative credentials to the Microsoft 365 tenant and Entra ID with sufficient privilege to deploy Conditional Access, DLP, and eDiscovery.</w:t>
      </w:r>
    </w:p>
    <w:p>
      <w:pPr>
        <w:pStyle w:val="ListBullet"/>
        <w:spacing w:after="40"/>
      </w:pPr>
      <w:r>
        <w:rPr>
          <w:rFonts w:ascii="Open Sans" w:hAnsi="Open Sans"/>
          <w:b w:val="0"/>
          <w:i w:val="0"/>
          <w:color w:val="59595B"/>
          <w:sz w:val="20"/>
        </w:rPr>
        <w:t>AFFG provides timely approvals for the Schwab Advisor Services and Interactive Brokers IP allowlist requests, including any required authorized-signer signatures.</w:t>
      </w:r>
    </w:p>
    <w:p>
      <w:pPr>
        <w:pStyle w:val="ListBullet"/>
        <w:spacing w:after="40"/>
      </w:pPr>
      <w:r>
        <w:rPr>
          <w:rFonts w:ascii="Open Sans" w:hAnsi="Open Sans"/>
          <w:b w:val="0"/>
          <w:i w:val="0"/>
          <w:color w:val="59595B"/>
          <w:sz w:val="20"/>
        </w:rPr>
        <w:t>AFFG’s existing M365 tenant is licensed at Microsoft 365 E3 or E5 (or equivalent add-ons) such that Data Loss Prevention and Conditional Access are available.</w:t>
      </w:r>
    </w:p>
    <w:p>
      <w:pPr>
        <w:pStyle w:val="ListBullet"/>
        <w:spacing w:after="40"/>
      </w:pPr>
      <w:r>
        <w:rPr>
          <w:rFonts w:ascii="Open Sans" w:hAnsi="Open Sans"/>
          <w:b w:val="0"/>
          <w:i w:val="0"/>
          <w:color w:val="59595B"/>
          <w:sz w:val="20"/>
        </w:rPr>
        <w:t>AFFG’s existing email archive platform meets SEC Rule 17a-4 retention and WORM requirements and can be referenced authoritatively in the Service Provider Oversight documentation.</w:t>
      </w:r>
    </w:p>
    <w:p>
      <w:pPr>
        <w:pStyle w:val="ListBullet"/>
        <w:spacing w:after="40"/>
      </w:pPr>
      <w:r>
        <w:rPr>
          <w:rFonts w:ascii="Open Sans" w:hAnsi="Open Sans"/>
          <w:b w:val="0"/>
          <w:i w:val="0"/>
          <w:color w:val="59595B"/>
          <w:sz w:val="20"/>
        </w:rPr>
        <w:t>The 11 named AFFG agents are available for VDI onboarding and training sessions during Weeks 3–4.</w:t>
      </w:r>
    </w:p>
    <w:p>
      <w:pPr>
        <w:pStyle w:val="ListBullet"/>
        <w:spacing w:after="40"/>
      </w:pPr>
      <w:r>
        <w:rPr>
          <w:rFonts w:ascii="Open Sans" w:hAnsi="Open Sans"/>
          <w:b w:val="0"/>
          <w:i w:val="0"/>
          <w:color w:val="59595B"/>
          <w:sz w:val="20"/>
        </w:rPr>
        <w:t>Coordination with third-party vendors (Schwab, Interactive Brokers, AFFG’s email archiver) proceeds on the standard timelines of those vendors; Technijian’s performance dates assume reasonable vendor responsiveness.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7. Exclusions</w:t>
            </w:r>
          </w:p>
        </w:tc>
      </w:tr>
    </w:tbl>
    <w:p>
      <w:pPr>
        <w:pStyle w:val="ListBullet"/>
        <w:spacing w:after="40"/>
      </w:pPr>
      <w:r>
        <w:rPr>
          <w:rFonts w:ascii="Open Sans" w:hAnsi="Open Sans"/>
          <w:b w:val="0"/>
          <w:i w:val="0"/>
          <w:color w:val="59595B"/>
          <w:sz w:val="20"/>
        </w:rPr>
        <w:t>Technijian My Archive (AFFG operates its own email-archiving platform, which remains authoritative for long-term mail retention).</w:t>
      </w:r>
    </w:p>
    <w:p>
      <w:pPr>
        <w:pStyle w:val="ListBullet"/>
        <w:spacing w:after="40"/>
      </w:pPr>
      <w:r>
        <w:rPr>
          <w:rFonts w:ascii="Open Sans" w:hAnsi="Open Sans"/>
          <w:b w:val="0"/>
          <w:i w:val="0"/>
          <w:color w:val="59595B"/>
          <w:sz w:val="20"/>
        </w:rPr>
        <w:t>Microsoft 365 license costs (AFFG procures M365 licenses directly).</w:t>
      </w:r>
    </w:p>
    <w:p>
      <w:pPr>
        <w:pStyle w:val="ListBullet"/>
        <w:spacing w:after="40"/>
      </w:pPr>
      <w:r>
        <w:rPr>
          <w:rFonts w:ascii="Open Sans" w:hAnsi="Open Sans"/>
          <w:b w:val="0"/>
          <w:i w:val="0"/>
          <w:color w:val="59595B"/>
          <w:sz w:val="20"/>
        </w:rPr>
        <w:t>Third-party public cloud consumption costs (all Technijian VDI resources are provisioned within Technijian’s private cloud and billed via Schedule A, Part 1).</w:t>
      </w:r>
    </w:p>
    <w:p>
      <w:pPr>
        <w:pStyle w:val="ListBullet"/>
        <w:spacing w:after="40"/>
      </w:pPr>
      <w:r>
        <w:rPr>
          <w:rFonts w:ascii="Open Sans" w:hAnsi="Open Sans"/>
          <w:b w:val="0"/>
          <w:i w:val="0"/>
          <w:color w:val="59595B"/>
          <w:sz w:val="20"/>
        </w:rPr>
        <w:t>Hardware procurement (AFFG continues to use its existing end-user devices as thin-client access points into VDI; this SOW does not include new workstation purchases).</w:t>
      </w:r>
    </w:p>
    <w:p>
      <w:pPr>
        <w:pStyle w:val="ListBullet"/>
        <w:spacing w:after="40"/>
      </w:pPr>
      <w:r>
        <w:rPr>
          <w:rFonts w:ascii="Open Sans" w:hAnsi="Open Sans"/>
          <w:b w:val="0"/>
          <w:i w:val="0"/>
          <w:color w:val="59595B"/>
          <w:sz w:val="20"/>
        </w:rPr>
        <w:t>Any remediation beyond the scope described in the phase narratives; significant remediation work arising from pen-test findings will be scoped under a separate change order.</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8. Ongoing Services</w:t>
            </w:r>
          </w:p>
        </w:tc>
      </w:tr>
    </w:tbl>
    <w:p>
      <w:pPr>
        <w:spacing w:after="120"/>
      </w:pPr>
      <w:r>
        <w:rPr>
          <w:rFonts w:ascii="Open Sans" w:hAnsi="Open Sans"/>
          <w:b w:val="0"/>
          <w:i w:val="0"/>
          <w:color w:val="59595B"/>
          <w:sz w:val="20"/>
        </w:rPr>
        <w:t>Upon completion of this SOW, AFFG is billed the ongoing recurring charges set forth in Schedule A of MSA-AFFG-2026 ($6,922.35/month). The $12,795.00 price of this SOW is a one-time implementation fee and is separate from the Schedule A monthly charges. The recurring Schedule A charges cover the VDI environment, endpoint security on VDI, all-user services, domain/site/IP services, shared storage, and Virtual Staff Support (unchanged from the prior Monthly Service Agreement).</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AMERICAN FUNDSTARS FINANCIAL GROUP LLC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[AUTHORIZED SIGNER]</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