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spacing w:before="0" w:after="0"/>
            </w:pPr>
            <w:r/>
          </w:p>
        </w:tc>
        <w:tc>
          <w:tcPr>
            <w:tcW w:type="dxa" w:w="3600"/>
            <w:shd w:fill="F67D4B" w:val="clear"/>
          </w:tcPr>
          <w:p>
            <w:pPr>
              <w:spacing w:before="0" w:after="0"/>
            </w:pPr>
            <w:r/>
          </w:p>
        </w:tc>
        <w:tc>
          <w:tcPr>
            <w:tcW w:type="dxa" w:w="3240"/>
          </w:tcPr>
          <w:p>
            <w:pPr>
              <w:spacing w:before="0" w:after="0"/>
            </w:pPr>
            <w:r/>
          </w:p>
        </w:tc>
      </w:tr>
    </w:tbl>
    <w:p>
      <w:pPr>
        <w:spacing w:before="400"/>
        <w:jc w:val="center"/>
      </w:pPr>
      <w:r>
        <w:rPr>
          <w:rFonts w:ascii="Open Sans" w:hAnsi="Open Sans"/>
          <w:b/>
          <w:i w:val="0"/>
          <w:color w:val="1A1A2E"/>
          <w:sz w:val="48"/>
        </w:rPr>
        <w:t>Schedule B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6"/>
        </w:rPr>
        <w:t>Subscription and License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 xml:space="preserve">Prepared for </w:t>
      </w:r>
      <w:r>
        <w:rPr>
          <w:rFonts w:ascii="Open Sans" w:hAnsi="Open Sans"/>
          <w:b/>
          <w:i w:val="0"/>
          <w:color w:val="006DB6"/>
          <w:sz w:val="24"/>
        </w:rPr>
        <w:t>American Fundstars Financial Group LLC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0"/>
        </w:rPr>
        <w:t>May 1,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F67D4B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For authorized use only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FFFFFF"/>
                <w:sz w:val="24"/>
              </w:rPr>
              <w:t>SCHEDULE B — SUBSCRIPTION AND LICENSE SERVICES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Agreement Number: MSA-AFFG-2026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Effective Date: May 1, 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Parent Agreement: Master Service Agreement between Technijian, Inc. and American Fundstars Financial Group LLC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This Schedule B governs any subscription services, software licenses, SaaS subscriptions, SIP trunk services, and similar recurring third-party services procured by Technijian on behalf of American Fundstars Financial Group LLC under the Master Service Agreement (MSA-AFFG-2026). Capitalized terms used and not defined herein have the meanings given to them in the MSA.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Current Subscription Services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Status as of Effective Date: </w:t>
      </w:r>
      <w:r>
        <w:rPr>
          <w:rFonts w:ascii="Open Sans" w:hAnsi="Open Sans"/>
          <w:b w:val="0"/>
          <w:i w:val="0"/>
          <w:color w:val="59595B"/>
          <w:sz w:val="20"/>
        </w:rPr>
        <w:t>No subscription or license services are currently in effect under this Schedule.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Endpoint security, user services, and VDI-resident products (CrowdStrike, Huntress, My Secure Internet, Patch Management, My Remote, My Audit UAM+DLP, Veeam 365 Backup, Huntress SAT, and Inky Anti-Spam Basic) are provided under Schedule A as managed services and are not subject to this Schedule B.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Adding Subscription Services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Subscription and license services may be added to this Schedule B at any time during the term of the Agreement by executing a Service Order (or written amendment) signed by both Parties. Each Service Order shall specify: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The subscription product or license being procured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The quantity, unit price, and total monthly or annual fee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The subscription term and renewal terms (if different from the MSA)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Any vendor-specific terms that apply (such as EULA acknowledgment)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Subscription fees are billed on the Monthly Recurring Subscription Invoice described in Section 3.02(a) of the MSA, in advance, on the first business day of each month.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Pass-Through and Client-Procured Licenses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If AFFG procures software or subscription licenses directly from a third-party vendor (rather than through Technijian), those licenses are not governed by this Schedule B. Client remains solely responsible for the terms, renewal, and payment of any directly-procured subscriptions, including Microsoft 365 licensing and any existing email-archive platform already operated by Client. Technijian will install, configure, and support such Client-procured licenses as part of the managed services under Schedule A, subject to vendor and license compatibility.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Termination of Subscriptions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Upon termination of the MSA or this Schedule B, Client shall pay all outstanding fees for any subscription services through the end of the then-current vendor billing period (including any annual commitments procured on Client’s behalf that are not cancellable). Technijian will cooperate in good faith to transfer any transferable subscriptions to Client or a successor provider.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40"/>
            </w:pPr>
            <w:r/>
          </w:p>
        </w:tc>
      </w:tr>
    </w:tbl>
    <w:p>
      <w:pPr>
        <w:spacing w:before="12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