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006DB6" w:val="clear"/>
          </w:tcPr>
          <w:p>
            <w:pPr>
              <w:spacing w:before="0" w:after="0" w:line="120"/>
            </w:pPr>
            <w:r/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240"/>
          </w:tcPr>
          <w:p>
            <w:pPr>
              <w:spacing w:before="0" w:after="0"/>
            </w:pPr>
            <w:r/>
          </w:p>
        </w:tc>
        <w:tc>
          <w:tcPr>
            <w:tcW w:type="dxa" w:w="3600"/>
            <w:shd w:fill="F67D4B" w:val="clear"/>
          </w:tcPr>
          <w:p>
            <w:pPr>
              <w:spacing w:before="0" w:after="0"/>
            </w:pPr>
            <w:r/>
          </w:p>
        </w:tc>
        <w:tc>
          <w:tcPr>
            <w:tcW w:type="dxa" w:w="3240"/>
          </w:tcPr>
          <w:p>
            <w:pPr>
              <w:spacing w:before="0" w:after="0"/>
            </w:pPr>
            <w:r/>
          </w:p>
        </w:tc>
      </w:tr>
    </w:tbl>
    <w:p>
      <w:pPr>
        <w:spacing w:before="400"/>
        <w:jc w:val="center"/>
      </w:pPr>
      <w:r>
        <w:rPr>
          <w:rFonts w:ascii="Open Sans" w:hAnsi="Open Sans"/>
          <w:b/>
          <w:i w:val="0"/>
          <w:color w:val="1A1A2E"/>
          <w:sz w:val="48"/>
        </w:rPr>
        <w:t>Schedule C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6"/>
        </w:rPr>
        <w:t>Rate Card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 xml:space="preserve">Prepared for </w:t>
      </w:r>
      <w:r>
        <w:rPr>
          <w:rFonts w:ascii="Open Sans" w:hAnsi="Open Sans"/>
          <w:b/>
          <w:i w:val="0"/>
          <w:color w:val="006DB6"/>
          <w:sz w:val="24"/>
        </w:rPr>
        <w:t>American Fundstars Financial Group LLC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0"/>
        </w:rPr>
        <w:t>May 1, 2026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F67D4B" w:val="clear"/>
          </w:tcPr>
          <w:p>
            <w:pPr>
              <w:spacing w:before="0" w:after="0" w:line="120"/>
            </w:pPr>
            <w:r/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6"/>
        </w:rPr>
        <w:t>CONFIDENTIAL — For authorized use only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16"/>
        </w:rPr>
        <w:t>Technijian, Inc.  |  18 Technology Dr., Ste 141, Irvine, CA 92618  |  949.379.8499  |  technijian.com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006DB6" w:val="clear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FFFFFF"/>
                <w:sz w:val="24"/>
              </w:rPr>
              <w:t>SCHEDULE C — RATE CARD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Agreement Number: MSA-AFFG-2026</w:t>
      </w: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Effective Date: May 1, 2026</w:t>
      </w: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Parent Agreement: Master Service Agreement between Technijian, Inc. and American Fundstars Financial Group LLC</w:t>
      </w: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Normal Business Hours: Monday – Friday, 8:00 AM – 6:00 PM Pacific Time</w:t>
      </w:r>
    </w:p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This Schedule C sets forth the standard hourly rates applicable to labor services performed under the Master Service Agreement (MSA-AFFG-2026) that are not covered by an active contracted Schedule or Statement of Work. Capitalized terms used and not defined herein have the meanings given to them in the MSA.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US-Based Staff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9ECEF"/>
          <w:left w:val="single" w:sz="4" w:space="0" w:color="E9ECEF"/>
          <w:bottom w:val="single" w:sz="4" w:space="0" w:color="E9ECEF"/>
          <w:right w:val="single" w:sz="4" w:space="0" w:color="E9ECEF"/>
          <w:insideH w:val="single" w:sz="4" w:space="0" w:color="E9ECEF"/>
          <w:insideV w:val="single" w:sz="4" w:space="0" w:color="E9ECE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Hourly</w:t>
            </w:r>
          </w:p>
        </w:tc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After-Hours</w:t>
            </w:r>
          </w:p>
        </w:tc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Contracted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CTO Advisory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$250/hr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$350/hr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$225/hr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Developer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$150/hr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N/A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$125/hr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Tech Support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$150/hr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$250/hr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$125/hr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Offshore-Based Staff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9ECEF"/>
          <w:left w:val="single" w:sz="4" w:space="0" w:color="E9ECEF"/>
          <w:bottom w:val="single" w:sz="4" w:space="0" w:color="E9ECEF"/>
          <w:right w:val="single" w:sz="4" w:space="0" w:color="E9ECEF"/>
          <w:insideH w:val="single" w:sz="4" w:space="0" w:color="E9ECEF"/>
          <w:insideV w:val="single" w:sz="4" w:space="0" w:color="E9ECE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Hourly</w:t>
            </w:r>
          </w:p>
        </w:tc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After-Hours</w:t>
            </w:r>
          </w:p>
        </w:tc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Contracted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Developer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$45/hr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N/A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$30/hr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SEO Specialist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$45/hr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N/A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$30/hr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Tech Support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$15/hr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$30/hr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$10/hr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Project &amp; Ad Hoc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9ECEF"/>
          <w:left w:val="single" w:sz="4" w:space="0" w:color="E9ECEF"/>
          <w:bottom w:val="single" w:sz="4" w:space="0" w:color="E9ECEF"/>
          <w:right w:val="single" w:sz="4" w:space="0" w:color="E9ECEF"/>
          <w:insideH w:val="single" w:sz="4" w:space="0" w:color="E9ECEF"/>
          <w:insideV w:val="single" w:sz="4" w:space="0" w:color="E9ECE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12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Rate</w:t>
            </w:r>
          </w:p>
        </w:tc>
        <w:tc>
          <w:tcPr>
            <w:tcW w:type="dxa" w:w="312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Minimum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On-Site Support (US)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$150/hr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2-hr minimum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Remote Support (ad hoc)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$150/hr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15-min increments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Emergency / Critical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$250/hr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1-hr minimum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Project Management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$150/hr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SOW-based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Rate Definitions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Open Sans" w:hAnsi="Open Sans"/>
          <w:b/>
          <w:i w:val="0"/>
          <w:color w:val="1A1A2E"/>
          <w:sz w:val="20"/>
        </w:rPr>
        <w:t xml:space="preserve">Normal Business Hours: </w:t>
      </w:r>
      <w:r>
        <w:rPr>
          <w:rFonts w:ascii="Open Sans" w:hAnsi="Open Sans"/>
          <w:b w:val="0"/>
          <w:i w:val="0"/>
          <w:color w:val="59595B"/>
          <w:sz w:val="20"/>
        </w:rPr>
        <w:t>Monday – Friday, 8:00 AM – 6:00 PM Pacific Time, excluding US federal holidays.</w:t>
      </w:r>
    </w:p>
    <w:p>
      <w:pPr>
        <w:spacing w:after="60"/>
      </w:pPr>
      <w:r>
        <w:rPr>
          <w:rFonts w:ascii="Open Sans" w:hAnsi="Open Sans"/>
          <w:b/>
          <w:i w:val="0"/>
          <w:color w:val="1A1A2E"/>
          <w:sz w:val="20"/>
        </w:rPr>
        <w:t xml:space="preserve">After-Hours: </w:t>
      </w:r>
      <w:r>
        <w:rPr>
          <w:rFonts w:ascii="Open Sans" w:hAnsi="Open Sans"/>
          <w:b w:val="0"/>
          <w:i w:val="0"/>
          <w:color w:val="59595B"/>
          <w:sz w:val="20"/>
        </w:rPr>
        <w:t>All hours outside Normal Business Hours, including weekends and US federal holidays.</w:t>
      </w:r>
    </w:p>
    <w:p>
      <w:pPr>
        <w:spacing w:after="60"/>
      </w:pPr>
      <w:r>
        <w:rPr>
          <w:rFonts w:ascii="Open Sans" w:hAnsi="Open Sans"/>
          <w:b/>
          <w:i w:val="0"/>
          <w:color w:val="1A1A2E"/>
          <w:sz w:val="20"/>
        </w:rPr>
        <w:t xml:space="preserve">Contracted Rate: </w:t>
      </w:r>
      <w:r>
        <w:rPr>
          <w:rFonts w:ascii="Open Sans" w:hAnsi="Open Sans"/>
          <w:b w:val="0"/>
          <w:i w:val="0"/>
          <w:color w:val="59595B"/>
          <w:sz w:val="20"/>
        </w:rPr>
        <w:t>Discounted rate available when Client commits to the Cycle-Based Billing Model under an active Schedule.</w:t>
      </w:r>
    </w:p>
    <w:p>
      <w:pPr>
        <w:spacing w:after="60"/>
      </w:pPr>
      <w:r>
        <w:rPr>
          <w:rFonts w:ascii="Open Sans" w:hAnsi="Open Sans"/>
          <w:b/>
          <w:i w:val="0"/>
          <w:color w:val="1A1A2E"/>
          <w:sz w:val="20"/>
        </w:rPr>
        <w:t xml:space="preserve">Hourly Rate: </w:t>
      </w:r>
      <w:r>
        <w:rPr>
          <w:rFonts w:ascii="Open Sans" w:hAnsi="Open Sans"/>
          <w:b w:val="0"/>
          <w:i w:val="0"/>
          <w:color w:val="59595B"/>
          <w:sz w:val="20"/>
        </w:rPr>
        <w:t>Standard ad-hoc rate applied to work performed outside an active contracted Schedule.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006DB6" w:val="clear"/>
          </w:tcPr>
          <w:p>
            <w:pPr>
              <w:spacing w:before="0" w:after="0" w:line="40"/>
            </w:pPr>
            <w:r/>
          </w:p>
        </w:tc>
      </w:tr>
    </w:tbl>
    <w:p>
      <w:pPr>
        <w:spacing w:before="120"/>
        <w:jc w:val="center"/>
      </w:pPr>
      <w:r>
        <w:rPr>
          <w:rFonts w:ascii="Open Sans" w:hAnsi="Open Sans"/>
          <w:b w:val="0"/>
          <w:i w:val="0"/>
          <w:color w:val="59595B"/>
          <w:sz w:val="16"/>
        </w:rPr>
        <w:t>Technijian, Inc.  |  18 Technology Dr., Ste 141, Irvine, CA 92618  |  949.379.8499  |  technijian.com</w:t>
      </w:r>
    </w:p>
    <w:sectPr w:rsidR="00FC693F" w:rsidRPr="0006063C" w:rsidSect="00034616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Open Sans" w:hAnsi="Open Sans"/>
      <w:color w:val="59595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