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Open Sans" w:cs="Open Sans" w:eastAsia="Open Sans" w:hAnsi="Open Sans"/>
          <w:color w:val="59595B"/>
          <w:sz w:val="22"/>
          <w:szCs w:val="22"/>
        </w:rPr>
        <w:t xml:space="preserve"/>
      </w:r>
    </w:p>
    <w:p>
      <w:pPr>
        <w:spacing w:after="200"/>
        <w:jc w:val="center"/>
      </w:pPr>
      <w:r>
        <w:drawing>
          <wp:inline distT="0" distB="0" distL="0" distR="0">
            <wp:extent cx="2381250" cy="600075"/>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600075"/>
                    </a:xfrm>
                    <a:prstGeom prst="rect">
                      <a:avLst/>
                    </a:prstGeom>
                  </pic:spPr>
                </pic:pic>
              </a:graphicData>
            </a:graphic>
          </wp:inline>
        </w:drawing>
      </w:r>
    </w:p>
    <w:p>
      <w:pPr>
        <w:spacing w:after="600"/>
      </w:pPr>
      <w:r>
        <w:rPr>
          <w:rFonts w:ascii="Open Sans" w:cs="Open Sans" w:eastAsia="Open Sans" w:hAnsi="Open Sans"/>
          <w:color w:val="59595B"/>
          <w:sz w:val="22"/>
          <w:szCs w:val="22"/>
        </w:rPr>
        <w:t xml:space="preserve"/>
      </w:r>
    </w:p>
    <w:p>
      <w:pPr>
        <w:pBdr>
          <w:bottom w:val="single" w:color="F67D4B" w:sz="2"/>
        </w:pBdr>
        <w:spacing w:after="100" w:before="100"/>
      </w:pPr>
    </w:p>
    <w:p>
      <w:pPr>
        <w:spacing w:after="200" w:before="400"/>
        <w:jc w:val="center"/>
      </w:pPr>
      <w:r>
        <w:rPr>
          <w:rFonts w:ascii="Open Sans" w:cs="Open Sans" w:eastAsia="Open Sans" w:hAnsi="Open Sans"/>
          <w:b/>
          <w:bCs/>
          <w:color w:val="1A1A2E"/>
          <w:sz w:val="48"/>
          <w:szCs w:val="48"/>
        </w:rPr>
        <w:t xml:space="preserve">Statement of Work</w:t>
      </w:r>
    </w:p>
    <w:p>
      <w:pPr>
        <w:spacing w:after="400"/>
        <w:jc w:val="center"/>
      </w:pPr>
      <w:r>
        <w:rPr>
          <w:rFonts w:ascii="Open Sans" w:cs="Open Sans" w:eastAsia="Open Sans" w:hAnsi="Open Sans"/>
          <w:color w:val="59595B"/>
          <w:sz w:val="24"/>
          <w:szCs w:val="24"/>
        </w:rPr>
        <w:t xml:space="preserve">Managed Device Control Deployment — American Fundstars Financial Group LLC</w:t>
      </w:r>
    </w:p>
    <w:p>
      <w:pPr>
        <w:pBdr>
          <w:bottom w:val="single" w:color="F67D4B" w:sz="2"/>
        </w:pBdr>
        <w:spacing w:after="100" w:before="100"/>
      </w:pPr>
    </w:p>
    <w:p>
      <w:pPr>
        <w:spacing w:after="600"/>
      </w:pPr>
      <w:r>
        <w:rPr>
          <w:rFonts w:ascii="Open Sans" w:cs="Open Sans" w:eastAsia="Open Sans" w:hAnsi="Open Sans"/>
          <w:color w:val="59595B"/>
          <w:sz w:val="22"/>
          <w:szCs w:val="22"/>
        </w:rPr>
        <w:t xml:space="preserve"/>
      </w:r>
    </w:p>
    <w:p>
      <w:pPr>
        <w:spacing w:after="200"/>
        <w:jc w:val="center"/>
      </w:pPr>
      <w:r>
        <w:rPr>
          <w:rFonts w:ascii="Open Sans" w:cs="Open Sans" w:eastAsia="Open Sans" w:hAnsi="Open Sans"/>
          <w:color w:val="59595B"/>
          <w:sz w:val="22"/>
          <w:szCs w:val="22"/>
        </w:rPr>
        <w:t xml:space="preserve">May 1, 2026</w:t>
      </w:r>
    </w:p>
    <w:p>
      <w:pPr>
        <w:spacing w:after="400"/>
      </w:pPr>
      <w:r>
        <w:rPr>
          <w:rFonts w:ascii="Open Sans" w:cs="Open Sans" w:eastAsia="Open Sans" w:hAnsi="Open Sans"/>
          <w:color w:val="59595B"/>
          <w:sz w:val="22"/>
          <w:szCs w:val="22"/>
        </w:rPr>
        <w:t xml:space="preserve"/>
      </w:r>
    </w:p>
    <w:p>
      <w:pPr>
        <w:jc w:val="center"/>
      </w:pPr>
      <w:r>
        <w:rPr>
          <w:rFonts w:ascii="Open Sans" w:cs="Open Sans" w:eastAsia="Open Sans" w:hAnsi="Open Sans"/>
          <w:b/>
          <w:bCs/>
          <w:color w:val="1A1A2E"/>
          <w:sz w:val="22"/>
          <w:szCs w:val="22"/>
        </w:rPr>
        <w:t xml:space="preserve">Technijian, Inc.</w:t>
      </w:r>
    </w:p>
    <w:p>
      <w:pPr>
        <w:jc w:val="center"/>
      </w:pPr>
      <w:r>
        <w:rPr>
          <w:rFonts w:ascii="Open Sans" w:cs="Open Sans" w:eastAsia="Open Sans" w:hAnsi="Open Sans"/>
          <w:color w:val="59595B"/>
          <w:sz w:val="20"/>
          <w:szCs w:val="20"/>
        </w:rPr>
        <w:t xml:space="preserve">18 Technology Dr., Ste 141  |  Irvine, CA 92618  |  949.379.8499</w:t>
      </w:r>
    </w:p>
    <w:p>
      <w:r>
        <w:br w:type="page"/>
      </w:r>
    </w:p>
    <w:p>
      <w:pPr>
        <w:sectPr>
          <w:pgSz w:w="12240" w:h="15840" w:orient="portrait"/>
          <w:pgMar w:top="1440" w:right="1440" w:bottom="1440" w:left="1440" w:header="708" w:footer="708" w:gutter="0"/>
          <w:pgNumType/>
          <w:docGrid w:linePitch="360"/>
        </w:sectPr>
      </w:pPr>
    </w:p>
    <w:p>
      <w:pPr>
        <w:pStyle w:val="Heading1"/>
      </w:pPr>
      <w:r>
        <w:rPr>
          <w:rFonts w:ascii="Open Sans" w:cs="Open Sans" w:eastAsia="Open Sans" w:hAnsi="Open Sans"/>
          <w:color w:val="59595B"/>
          <w:sz w:val="22"/>
          <w:szCs w:val="22"/>
        </w:rPr>
        <w:t xml:space="preserve">STATEMENT OF WORK</w:t>
      </w:r>
    </w:p>
    <w:p>
      <w:r>
        <w:rPr>
          <w:rFonts w:ascii="Open Sans" w:cs="Open Sans" w:eastAsia="Open Sans" w:hAnsi="Open Sans"/>
          <w:b/>
          <w:bCs/>
          <w:color w:val="1A1A2E"/>
          <w:sz w:val="22"/>
          <w:szCs w:val="22"/>
        </w:rPr>
        <w:t xml:space="preserve">SOW Number: </w:t>
      </w:r>
      <w:r>
        <w:rPr>
          <w:rFonts w:ascii="Open Sans" w:cs="Open Sans" w:eastAsia="Open Sans" w:hAnsi="Open Sans"/>
          <w:color w:val="59595B"/>
          <w:sz w:val="22"/>
          <w:szCs w:val="22"/>
        </w:rPr>
        <w:t xml:space="preserve">SOW-AFFG-004</w:t>
      </w:r>
    </w:p>
    <w:p>
      <w:r>
        <w:rPr>
          <w:rFonts w:ascii="Open Sans" w:cs="Open Sans" w:eastAsia="Open Sans" w:hAnsi="Open Sans"/>
          <w:b/>
          <w:bCs/>
          <w:color w:val="1A1A2E"/>
          <w:sz w:val="22"/>
          <w:szCs w:val="22"/>
        </w:rPr>
        <w:t xml:space="preserve">Title: </w:t>
      </w:r>
      <w:r>
        <w:rPr>
          <w:rFonts w:ascii="Open Sans" w:cs="Open Sans" w:eastAsia="Open Sans" w:hAnsi="Open Sans"/>
          <w:color w:val="59595B"/>
          <w:sz w:val="22"/>
          <w:szCs w:val="22"/>
        </w:rPr>
        <w:t xml:space="preserve">Managed Device Control Deployment</w:t>
      </w:r>
    </w:p>
    <w:p>
      <w:r>
        <w:rPr>
          <w:rFonts w:ascii="Open Sans" w:cs="Open Sans" w:eastAsia="Open Sans" w:hAnsi="Open Sans"/>
          <w:b/>
          <w:bCs/>
          <w:color w:val="1A1A2E"/>
          <w:sz w:val="22"/>
          <w:szCs w:val="22"/>
        </w:rPr>
        <w:t xml:space="preserve">Effective Date: </w:t>
      </w:r>
      <w:r>
        <w:rPr>
          <w:rFonts w:ascii="Open Sans" w:cs="Open Sans" w:eastAsia="Open Sans" w:hAnsi="Open Sans"/>
          <w:color w:val="59595B"/>
          <w:sz w:val="22"/>
          <w:szCs w:val="22"/>
        </w:rPr>
        <w:t xml:space="preserve">May 1, 2026</w:t>
      </w:r>
    </w:p>
    <w:p>
      <w:r>
        <w:rPr>
          <w:rFonts w:ascii="Open Sans" w:cs="Open Sans" w:eastAsia="Open Sans" w:hAnsi="Open Sans"/>
          <w:b/>
          <w:bCs/>
          <w:color w:val="1A1A2E"/>
          <w:sz w:val="22"/>
          <w:szCs w:val="22"/>
        </w:rPr>
        <w:t xml:space="preserve">Parent Agreement: </w:t>
      </w:r>
      <w:r>
        <w:rPr>
          <w:rFonts w:ascii="Open Sans" w:cs="Open Sans" w:eastAsia="Open Sans" w:hAnsi="Open Sans"/>
          <w:color w:val="59595B"/>
          <w:sz w:val="22"/>
          <w:szCs w:val="22"/>
        </w:rPr>
        <w:t xml:space="preserve">Client Monthly Service Agreement (DocuSign Envelope F3CDFC05-B156-8A6F-8020-13A164F4E3F1, effective March 11, 2026), as amended by Section 12 of this SOW</w:t>
      </w:r>
    </w:p>
    <w:p>
      <w:r>
        <w:rPr>
          <w:rFonts w:ascii="Open Sans" w:cs="Open Sans" w:eastAsia="Open Sans" w:hAnsi="Open Sans"/>
          <w:b/>
          <w:bCs/>
          <w:color w:val="1A1A2E"/>
          <w:sz w:val="22"/>
          <w:szCs w:val="22"/>
        </w:rPr>
        <w:t xml:space="preserve">Source: </w:t>
      </w:r>
      <w:r>
        <w:rPr>
          <w:rFonts w:ascii="Open Sans" w:cs="Open Sans" w:eastAsia="Open Sans" w:hAnsi="Open Sans"/>
          <w:color w:val="59595B"/>
          <w:sz w:val="22"/>
          <w:szCs w:val="22"/>
        </w:rPr>
        <w:t xml:space="preserve">AFFG Managed Device Strategy (REF: AFFG-MDS-2026-04, April 2026)</w:t>
      </w:r>
    </w:p>
    <w:p>
      <w:r>
        <w:rPr>
          <w:rFonts w:ascii="Open Sans" w:cs="Open Sans" w:eastAsia="Open Sans" w:hAnsi="Open Sans"/>
          <w:b/>
          <w:bCs/>
          <w:color w:val="1A1A2E"/>
          <w:sz w:val="22"/>
          <w:szCs w:val="22"/>
        </w:rPr>
        <w:t xml:space="preserve">Regulatory Scope: </w:t>
      </w:r>
      <w:r>
        <w:rPr>
          <w:rFonts w:ascii="Open Sans" w:cs="Open Sans" w:eastAsia="Open Sans" w:hAnsi="Open Sans"/>
          <w:color w:val="59595B"/>
          <w:sz w:val="22"/>
          <w:szCs w:val="22"/>
        </w:rPr>
        <w:t xml:space="preserve">SEC Reg S-P (2024 Amendments), FINRA Rule 3110, FINRA Rule 4370, SEC Rule 17a-4, NIST SP 800-53 Rev 5</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Statement of Work (“SOW”) is entered into by and between: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 (“Technijian”)</w:t>
      </w:r>
    </w:p>
    <w:p>
      <w:r>
        <w:rPr>
          <w:rFonts w:ascii="Open Sans" w:cs="Open Sans" w:eastAsia="Open Sans" w:hAnsi="Open Sans"/>
          <w:color w:val="59595B"/>
          <w:sz w:val="22"/>
          <w:szCs w:val="22"/>
        </w:rPr>
        <w:t xml:space="preserve">18 Technology Drive, Suite 141</w:t>
      </w:r>
    </w:p>
    <w:p>
      <w:r>
        <w:rPr>
          <w:rFonts w:ascii="Open Sans" w:cs="Open Sans" w:eastAsia="Open Sans" w:hAnsi="Open Sans"/>
          <w:color w:val="59595B"/>
          <w:sz w:val="22"/>
          <w:szCs w:val="22"/>
        </w:rPr>
        <w:t xml:space="preserve">Irvine, California 92618</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and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American Fundstars Financial Group LLC (“Client” or “AFFG”)</w:t>
      </w:r>
    </w:p>
    <w:p>
      <w:r>
        <w:rPr>
          <w:rFonts w:ascii="Open Sans" w:cs="Open Sans" w:eastAsia="Open Sans" w:hAnsi="Open Sans"/>
          <w:color w:val="59595B"/>
          <w:sz w:val="22"/>
          <w:szCs w:val="22"/>
        </w:rPr>
        <w:t xml:space="preserve">1 Park Plaza, Suite 210</w:t>
      </w:r>
    </w:p>
    <w:p>
      <w:r>
        <w:rPr>
          <w:rFonts w:ascii="Open Sans" w:cs="Open Sans" w:eastAsia="Open Sans" w:hAnsi="Open Sans"/>
          <w:color w:val="59595B"/>
          <w:sz w:val="22"/>
          <w:szCs w:val="22"/>
        </w:rPr>
        <w:t xml:space="preserve">Irvine, California 92618</w:t>
      </w:r>
    </w:p>
    <w:p>
      <w:r>
        <w:rPr>
          <w:rFonts w:ascii="Open Sans" w:cs="Open Sans" w:eastAsia="Open Sans" w:hAnsi="Open Sans"/>
          <w:b/>
          <w:bCs/>
          <w:color w:val="1A1A2E"/>
          <w:sz w:val="22"/>
          <w:szCs w:val="22"/>
        </w:rPr>
        <w:t xml:space="preserve">Primary Contact: </w:t>
      </w:r>
      <w:r>
        <w:rPr>
          <w:rFonts w:ascii="Open Sans" w:cs="Open Sans" w:eastAsia="Open Sans" w:hAnsi="Open Sans"/>
          <w:color w:val="59595B"/>
          <w:sz w:val="22"/>
          <w:szCs w:val="22"/>
        </w:rPr>
        <w:t xml:space="preserve">Iris Liu</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Note: </w:t>
      </w:r>
      <w:r>
        <w:rPr>
          <w:rFonts w:ascii="Open Sans" w:cs="Open Sans" w:eastAsia="Open Sans" w:hAnsi="Open Sans"/>
          <w:color w:val="59595B"/>
          <w:sz w:val="22"/>
          <w:szCs w:val="22"/>
        </w:rPr>
        <w:t xml:space="preserve">This SOW deploys the managed-device control architecture presented in the AFFG Managed Device Strategy (REF: AFFG-MDS-2026-04) as the implementation path selected by Client. The starting state is the network defined in the signed MSA-AFFG-2026 Schedule A (no VDI deployed). The monthly recurring charges in Schedule A of MSA-AFFG-2026 will be amended per Section 8 of this SOW to add the managed device control services.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1. PROJECT OVERVIEW</w:t>
      </w:r>
    </w:p>
    <w:p>
      <w:r>
        <w:rPr>
          <w:rFonts w:ascii="Open Sans" w:cs="Open Sans" w:eastAsia="Open Sans" w:hAnsi="Open Sans"/>
          <w:color w:val="59595B"/>
          <w:sz w:val="22"/>
          <w:szCs w:val="22"/>
        </w:rPr>
        <w:t xml:space="preserve">Technijian will deliver a 6-phase implementation that deploys a managed-device control architecture for AFFG, consisting of 9 company-owned Apple endpoints (3 Mac Minis and 6 Apple Neo notebooks) enrolled in Microsoft Intune via Apple Business Manager Automated Device Enrollment, 9 Intune MDM-managed company phones, CloudBrink Zero Trust Network Access (ZTNA), Entra Conditional Access, endpoint DLP, and SSO/2FA. The starting state is the existing production network defined in MSA-AFFG-2026 Schedule A, in which users access M365, Schwab Advisor Services, and Interactive Brokers from a mixed fleet (1 existing Mac Mini, 1 MacBook Pro, and 3 Windows devices) gated by office-IP whitelist and MFA. Under this SOW, the MacBook Pro and the 3 Windows devices are offboarded; the 9 new Apple endpoints are onboarded as the managed fleet. This SOW establishes a fully SEC/FINRA-compliant endpoint control posture for all 9 users and their company phones, enables secure access from any network, and produces the attested evidence required under FINRA 3110(c).</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1.1 Objectives</w:t>
      </w:r>
    </w:p>
    <w:p>
      <w:pPr>
        <w:pStyle w:val="ListParagraph"/>
        <w:numPr>
          <w:ilvl w:val="0"/>
          <w:numId w:val="2"/>
        </w:numPr>
      </w:pPr>
      <w:r>
        <w:rPr>
          <w:rFonts w:ascii="Open Sans" w:cs="Open Sans" w:eastAsia="Open Sans" w:hAnsi="Open Sans"/>
          <w:color w:val="59595B"/>
          <w:sz w:val="22"/>
          <w:szCs w:val="22"/>
        </w:rPr>
        <w:t xml:space="preserve">Enroll 9 company Apple endpoints (3 Mac Minis + 6 Apple Neo notebooks) in Microsoft Intune via Apple Business Manager Automated Device Enrollment with the full macOS endpoint security stack</w:t>
      </w:r>
    </w:p>
    <w:p>
      <w:pPr>
        <w:pStyle w:val="ListParagraph"/>
        <w:numPr>
          <w:ilvl w:val="0"/>
          <w:numId w:val="2"/>
        </w:numPr>
      </w:pPr>
      <w:r>
        <w:rPr>
          <w:rFonts w:ascii="Open Sans" w:cs="Open Sans" w:eastAsia="Open Sans" w:hAnsi="Open Sans"/>
          <w:color w:val="59595B"/>
          <w:sz w:val="22"/>
          <w:szCs w:val="22"/>
        </w:rPr>
        <w:t xml:space="preserve">Deploy CloudBrink ZTNA to replace the existing office-IP whitelist with device-posture-based access from any network</w:t>
      </w:r>
    </w:p>
    <w:p>
      <w:pPr>
        <w:pStyle w:val="ListParagraph"/>
        <w:numPr>
          <w:ilvl w:val="0"/>
          <w:numId w:val="2"/>
        </w:numPr>
      </w:pPr>
      <w:r>
        <w:rPr>
          <w:rFonts w:ascii="Open Sans" w:cs="Open Sans" w:eastAsia="Open Sans" w:hAnsi="Open Sans"/>
          <w:color w:val="59595B"/>
          <w:sz w:val="22"/>
          <w:szCs w:val="22"/>
        </w:rPr>
        <w:t xml:space="preserve">Deploy MyAudit UAM+DLP, SSO/2FA gateway, and Credential Manager on all 9 managed Apple endpoints</w:t>
      </w:r>
    </w:p>
    <w:p>
      <w:pPr>
        <w:pStyle w:val="ListParagraph"/>
        <w:numPr>
          <w:ilvl w:val="0"/>
          <w:numId w:val="2"/>
        </w:numPr>
      </w:pPr>
      <w:r>
        <w:rPr>
          <w:rFonts w:ascii="Open Sans" w:cs="Open Sans" w:eastAsia="Open Sans" w:hAnsi="Open Sans"/>
          <w:color w:val="59595B"/>
          <w:sz w:val="22"/>
          <w:szCs w:val="22"/>
        </w:rPr>
        <w:t xml:space="preserve">Enroll 9 company phones in Intune MDM with App Protection (MAM) policies</w:t>
      </w:r>
    </w:p>
    <w:p>
      <w:pPr>
        <w:pStyle w:val="ListParagraph"/>
        <w:numPr>
          <w:ilvl w:val="0"/>
          <w:numId w:val="2"/>
        </w:numPr>
      </w:pPr>
      <w:r>
        <w:rPr>
          <w:rFonts w:ascii="Open Sans" w:cs="Open Sans" w:eastAsia="Open Sans" w:hAnsi="Open Sans"/>
          <w:color w:val="59595B"/>
          <w:sz w:val="22"/>
          <w:szCs w:val="22"/>
        </w:rPr>
        <w:t xml:space="preserve">Configure Entra Conditional Access (compliant-device requirement, legacy-auth block, MFA) and cut over users from their existing devices to the new managed Apple fleet via a phased pilot</w:t>
      </w:r>
    </w:p>
    <w:p>
      <w:pPr>
        <w:pStyle w:val="ListParagraph"/>
        <w:numPr>
          <w:ilvl w:val="0"/>
          <w:numId w:val="2"/>
        </w:numPr>
      </w:pPr>
      <w:r>
        <w:rPr>
          <w:rFonts w:ascii="Open Sans" w:cs="Open Sans" w:eastAsia="Open Sans" w:hAnsi="Open Sans"/>
          <w:color w:val="59595B"/>
          <w:sz w:val="22"/>
          <w:szCs w:val="22"/>
        </w:rPr>
        <w:t xml:space="preserve">Offboard the 4 legacy devices in scope (1 MacBook Pro and 3 Windows systems: KIKI, LEON, MAGGIE); securely wipe and retire them from the managed inventory</w:t>
      </w:r>
    </w:p>
    <w:p>
      <w:pPr>
        <w:pStyle w:val="ListParagraph"/>
        <w:numPr>
          <w:ilvl w:val="0"/>
          <w:numId w:val="2"/>
        </w:numPr>
      </w:pPr>
      <w:r>
        <w:rPr>
          <w:rFonts w:ascii="Open Sans" w:cs="Open Sans" w:eastAsia="Open Sans" w:hAnsi="Open Sans"/>
          <w:color w:val="59595B"/>
          <w:sz w:val="22"/>
          <w:szCs w:val="22"/>
        </w:rPr>
        <w:t xml:space="preserve">Amend Schedule A of MSA-AFFG-2026 to replace Windows endpoint pricing with macOS endpoint pricing and add the managed-device control services; produce the updated monthly recurring</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1.2 Exclusions</w:t>
      </w:r>
    </w:p>
    <w:p>
      <w:pPr>
        <w:pStyle w:val="ListParagraph"/>
        <w:numPr>
          <w:ilvl w:val="0"/>
          <w:numId w:val="3"/>
        </w:numPr>
      </w:pPr>
      <w:r>
        <w:rPr>
          <w:rFonts w:ascii="Open Sans" w:cs="Open Sans" w:eastAsia="Open Sans" w:hAnsi="Open Sans"/>
          <w:color w:val="59595B"/>
          <w:sz w:val="22"/>
          <w:szCs w:val="22"/>
        </w:rPr>
        <w:t xml:space="preserve">CloudBrink per-user subscription licensing (procured directly by AFFG)</w:t>
      </w:r>
    </w:p>
    <w:p>
      <w:pPr>
        <w:pStyle w:val="ListParagraph"/>
        <w:numPr>
          <w:ilvl w:val="0"/>
          <w:numId w:val="3"/>
        </w:numPr>
      </w:pPr>
      <w:r>
        <w:rPr>
          <w:rFonts w:ascii="Open Sans" w:cs="Open Sans" w:eastAsia="Open Sans" w:hAnsi="Open Sans"/>
          <w:color w:val="59595B"/>
          <w:sz w:val="22"/>
          <w:szCs w:val="22"/>
        </w:rPr>
        <w:t xml:space="preserve">Hardware procurement (AFFG provides company laptops and phones)</w:t>
      </w:r>
    </w:p>
    <w:p>
      <w:pPr>
        <w:pStyle w:val="ListParagraph"/>
        <w:numPr>
          <w:ilvl w:val="0"/>
          <w:numId w:val="3"/>
        </w:numPr>
      </w:pPr>
      <w:r>
        <w:rPr>
          <w:rFonts w:ascii="Open Sans" w:cs="Open Sans" w:eastAsia="Open Sans" w:hAnsi="Open Sans"/>
          <w:color w:val="59595B"/>
          <w:sz w:val="22"/>
          <w:szCs w:val="22"/>
        </w:rPr>
        <w:t xml:space="preserve">Technijian My Archive (AFFG operates own email-archiving platform)</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2. IMPLEMENTATION SCOPE</w:t>
      </w:r>
    </w:p>
    <w:p>
      <w:pPr>
        <w:pStyle w:val="Heading2"/>
      </w:pPr>
      <w:r>
        <w:rPr>
          <w:rFonts w:ascii="Open Sans" w:cs="Open Sans" w:eastAsia="Open Sans" w:hAnsi="Open Sans"/>
          <w:color w:val="59595B"/>
          <w:sz w:val="22"/>
          <w:szCs w:val="22"/>
        </w:rPr>
        <w:t xml:space="preserve">Phase 1: Endpoint Foundation (Weeks 1–4)</w:t>
      </w:r>
    </w:p>
    <w:p>
      <w:r>
        <w:rPr>
          <w:rFonts w:ascii="Open Sans" w:cs="Open Sans" w:eastAsia="Open Sans" w:hAnsi="Open Sans"/>
          <w:b/>
          <w:bCs/>
          <w:color w:val="1EAAC8"/>
          <w:sz w:val="22"/>
          <w:szCs w:val="22"/>
        </w:rPr>
        <w:t xml:space="preserve">8 tickets  |  25 hours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Configure Apple Business Manager + Intune Automated Device Enrollment for macOS, compliance policies (FileVault, Gatekeeper/XProtect, firewall, screen lock, OS minimum), device configuration profiles (silent FileVault enable, System Integrity Protection, Software Update for macOS, PIN/password complexity), enroll all 9 Apple endpoints (3 Mac Minis + 6 Apple Neo notebooks), deploy full macOS security stack (CrowdStrike Falcon for Mac, Huntress macOS, Cisco Umbrella macOS, ManageEngine Patch Management for macOS, ConnectWise ScreenConnect), MyAudit UAM+DLP for macOS, SSO/2FA gateway, and Credential Manager on all managed endpoints.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Phase 1 Tickets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600"/>
        <w:gridCol w:w="960"/>
      </w:tblGrid>
      <w:tr>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Ticket</w:t>
            </w:r>
          </w:p>
        </w:tc>
        <w:tc>
          <w:tcPr>
            <w:tcW w:type="dxa" w:w="4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Title</w:t>
            </w:r>
          </w:p>
        </w:tc>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Assigned To</w:t>
            </w:r>
          </w:p>
        </w:tc>
        <w:tc>
          <w:tcPr>
            <w:tcW w:type="dxa" w:w="9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AFFG-004-001</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Apple Business Manager + Intune ADE Enrollment Profiles</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AFFG-004-002</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Intune Compliance Policies for macOS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AFFG-004-003</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Intune Configuration Profiles for macOS</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AFFG-004-004</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Mac ABM Enrollment &amp; Imaging (9 Apple Endpoints)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AFFG-004-005</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Endpoint Security Stack Deployment (9 macOS Endpoints)</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AFFG-004-006</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MyAudit UAM+DLP Agent Deployment on 9 Macs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AFFG-004-007</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SSO/2FA Gateway Deployment on Managed Macs</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AFFG-004-008</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Credential Manager Deployment on Managed Macs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Total</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25</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2: Access Control (Weeks 3–6)</w:t>
      </w:r>
    </w:p>
    <w:p>
      <w:r>
        <w:rPr>
          <w:rFonts w:ascii="Open Sans" w:cs="Open Sans" w:eastAsia="Open Sans" w:hAnsi="Open Sans"/>
          <w:b/>
          <w:bCs/>
          <w:color w:val="1EAAC8"/>
          <w:sz w:val="22"/>
          <w:szCs w:val="22"/>
        </w:rPr>
        <w:t xml:space="preserve">5 tickets  |  16 hours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Configure Entra Conditional Access (require compliant device, block legacy auth, require MFA), deploy CloudBrink ZTNA (tenant, connector, agent on 9 laptops, per-app policies), and transition Schwab Advisor Services and Interactive Brokers custodian access from the existing office-IP whitelist to CloudBrink ZTNA.</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Phase 2 Tickets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600"/>
        <w:gridCol w:w="960"/>
      </w:tblGrid>
      <w:tr>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Ticket</w:t>
            </w:r>
          </w:p>
        </w:tc>
        <w:tc>
          <w:tcPr>
            <w:tcW w:type="dxa" w:w="4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Title</w:t>
            </w:r>
          </w:p>
        </w:tc>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Assigned To</w:t>
            </w:r>
          </w:p>
        </w:tc>
        <w:tc>
          <w:tcPr>
            <w:tcW w:type="dxa" w:w="9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AFFG-004-009</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Conditional Access Policy Suite</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AFFG-004-010</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CloudBrink ZTNA Tenant &amp; Connector Setup</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AFFG-004-011</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CloudBrink Agent Deployment to 9 Managed Macs</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AFFG-004-012</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CloudBrink Access Policies &amp; Micro-Segmentation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AFFG-004-013</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Schwab &amp; IBKR Access Migration (Office IP Whitelist to ZTNA)</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Total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16</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3: Mobile Device Control (Weeks 5–8)</w:t>
      </w:r>
    </w:p>
    <w:p>
      <w:r>
        <w:rPr>
          <w:rFonts w:ascii="Open Sans" w:cs="Open Sans" w:eastAsia="Open Sans" w:hAnsi="Open Sans"/>
          <w:b/>
          <w:bCs/>
          <w:color w:val="1EAAC8"/>
          <w:sz w:val="22"/>
          <w:szCs w:val="22"/>
        </w:rPr>
        <w:t xml:space="preserve">3 tickets  |  8 hours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Enroll 9 company phones in Intune MDM, deploy App Protection (MAM) policies, configure remote wipe and termination procedures.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Phase 3 Tickets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600"/>
        <w:gridCol w:w="960"/>
      </w:tblGrid>
      <w:tr>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Ticket</w:t>
            </w:r>
          </w:p>
        </w:tc>
        <w:tc>
          <w:tcPr>
            <w:tcW w:type="dxa" w:w="4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Title</w:t>
            </w:r>
          </w:p>
        </w:tc>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Assigned To</w:t>
            </w:r>
          </w:p>
        </w:tc>
        <w:tc>
          <w:tcPr>
            <w:tcW w:type="dxa" w:w="9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AFFG-004-014</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Intune MDM Enrollment for Company Phones (9 Devices)</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AFFG-004-015</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Intune App Protection (MAM) Policies for Mobile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AFFG-004-016</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Mobile Remote Wipe &amp; Termination Procedures</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Total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8</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4: User Cutover &amp; Legacy Offboarding (Weeks 7–12)</w:t>
      </w:r>
    </w:p>
    <w:p>
      <w:r>
        <w:rPr>
          <w:rFonts w:ascii="Open Sans" w:cs="Open Sans" w:eastAsia="Open Sans" w:hAnsi="Open Sans"/>
          <w:b/>
          <w:bCs/>
          <w:color w:val="1EAAC8"/>
          <w:sz w:val="22"/>
          <w:szCs w:val="22"/>
        </w:rPr>
        <w:t xml:space="preserve">4 tickets  |  19 hours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Migrate user data, application settings, and profiles from each user’s existing work device to the new managed Apple endpoint; securely offboard and retire the 4 legacy devices (1 MacBook Pro and 3 Windows systems KIKI/LEON/MAGGIE) including full disk wipe per NIST SP 800-88; deliver end-user training on the macOS managed-device workflow; run a 2-week pilot operation window with 2–3 users on the new Macs before full fleet cutover; and decommission the legacy office-IP whitelist from Schwab and IBKR after ZTNA is validated.</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Phase 4 Tickets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600"/>
        <w:gridCol w:w="960"/>
      </w:tblGrid>
      <w:tr>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Ticket</w:t>
            </w:r>
          </w:p>
        </w:tc>
        <w:tc>
          <w:tcPr>
            <w:tcW w:type="dxa" w:w="4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Title</w:t>
            </w:r>
          </w:p>
        </w:tc>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Assigned To</w:t>
            </w:r>
          </w:p>
        </w:tc>
        <w:tc>
          <w:tcPr>
            <w:tcW w:type="dxa" w:w="9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AFFG-004-017</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User Data Migration &amp; Legacy Device Offboarding</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AFFG-004-018</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User Training — macOS Managed Device Workflow</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AFFG-004-019</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Pilot Operation Window (2–3 Users on Managed Macs)</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AFFG-004-020</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Legacy Office-IP Whitelist Decommission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Total</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19</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5: Monitoring &amp; Validation (Weeks 11–14)</w:t>
      </w:r>
    </w:p>
    <w:p>
      <w:r>
        <w:rPr>
          <w:rFonts w:ascii="Open Sans" w:cs="Open Sans" w:eastAsia="Open Sans" w:hAnsi="Open Sans"/>
          <w:b/>
          <w:bCs/>
          <w:color w:val="1EAAC8"/>
          <w:sz w:val="22"/>
          <w:szCs w:val="22"/>
        </w:rPr>
        <w:t xml:space="preserve">4 tickets  |  13 hours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Expand the existing monthly assessment to include device fleet + CloudBrink + mobile, configure monthly mobile device audit, perform end-to-end security validation, and produce a post-deployment compliance gap assessment confirming every control-to-citation commitment is met.</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Phase 5 Tickets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600"/>
        <w:gridCol w:w="960"/>
      </w:tblGrid>
      <w:tr>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Ticket</w:t>
            </w:r>
          </w:p>
        </w:tc>
        <w:tc>
          <w:tcPr>
            <w:tcW w:type="dxa" w:w="4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Title</w:t>
            </w:r>
          </w:p>
        </w:tc>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Assigned To</w:t>
            </w:r>
          </w:p>
        </w:tc>
        <w:tc>
          <w:tcPr>
            <w:tcW w:type="dxa" w:w="9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AFFG-004-021</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Monitoring Expansion — Device Fleet &amp; CloudBrink</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AFFG-004-022</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Monthly Mobile Device Audit Configuration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AFFG-004-023</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End-to-End Security Validation</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AFFG-004-024</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Post-Deployment Compliance Gap Assessment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Total</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13</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6: Documentation Update (Weeks 13–16)</w:t>
      </w:r>
    </w:p>
    <w:p>
      <w:r>
        <w:rPr>
          <w:rFonts w:ascii="Open Sans" w:cs="Open Sans" w:eastAsia="Open Sans" w:hAnsi="Open Sans"/>
          <w:b/>
          <w:bCs/>
          <w:color w:val="1EAAC8"/>
          <w:sz w:val="22"/>
          <w:szCs w:val="22"/>
        </w:rPr>
        <w:t xml:space="preserve">2 tickets  |  9 hours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Produce the compliance documentation suite aligned with the managed-device architecture (IRP, BCP disclosure, Service Provider Oversight, supervisory audit-trail architecture) and draft the Schedule A amendment to MSA-AFFG-2026 adding the managed-device control services.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Phase 6 Tickets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600"/>
        <w:gridCol w:w="960"/>
      </w:tblGrid>
      <w:tr>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Ticket</w:t>
            </w:r>
          </w:p>
        </w:tc>
        <w:tc>
          <w:tcPr>
            <w:tcW w:type="dxa" w:w="4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Title</w:t>
            </w:r>
          </w:p>
        </w:tc>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Assigned To</w:t>
            </w:r>
          </w:p>
        </w:tc>
        <w:tc>
          <w:tcPr>
            <w:tcW w:type="dxa" w:w="9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AFFG-004-025</w:t>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Compliance Documentation Suite</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CHD-TS1</w:t>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AFFG-004-026</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Schedule A Amendment — Consolidate to 9 macOS Endpoints + Add Managed Control Services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Total</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9</w:t>
            </w:r>
          </w:p>
        </w:tc>
      </w:tr>
    </w:tbl>
    <w:p>
      <w:pPr>
        <w:pBdr>
          <w:bottom w:val="single" w:color="006DB6" w:sz="3"/>
        </w:pBdr>
        <w:spacing w:after="200" w:before="200"/>
      </w:pPr>
    </w:p>
    <w:p>
      <w:pPr>
        <w:pStyle w:val="Heading1"/>
      </w:pPr>
      <w:r>
        <w:rPr>
          <w:rFonts w:ascii="Open Sans" w:cs="Open Sans" w:eastAsia="Open Sans" w:hAnsi="Open Sans"/>
          <w:color w:val="59595B"/>
          <w:sz w:val="22"/>
          <w:szCs w:val="22"/>
        </w:rPr>
        <w:t xml:space="preserve">3. CONTROL-TO-CITATION MAP</w:t>
      </w:r>
    </w:p>
    <w:p>
      <w:r>
        <w:rPr>
          <w:rFonts w:ascii="Open Sans" w:cs="Open Sans" w:eastAsia="Open Sans" w:hAnsi="Open Sans"/>
          <w:color w:val="59595B"/>
          <w:sz w:val="22"/>
          <w:szCs w:val="22"/>
        </w:rPr>
        <w:t xml:space="preserve">The following table maps each design component of the managed-device architecture to its control objective and the specific regulatory citations it satisfies:</w:t>
      </w:r>
    </w:p>
    <w:p>
      <w:pPr>
        <w:spacing w:after="120"/>
      </w:pPr>
      <w:r>
        <w:rPr>
          <w:rFonts w:ascii="Open Sans" w:cs="Open Sans" w:eastAsia="Open Sans" w:hAnsi="Open Sans"/>
          <w:color w:val="59595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c>
          <w:tcPr>
            <w:tcW w:type="dxa" w:w="2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Design Component</w:t>
            </w:r>
          </w:p>
        </w:tc>
        <w:tc>
          <w:tcPr>
            <w:tcW w:type="dxa" w:w="3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Control Objective</w:t>
            </w:r>
          </w:p>
        </w:tc>
        <w:tc>
          <w:tcPr>
            <w:tcW w:type="dxa" w:w="30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Citation(s)</w:t>
            </w:r>
          </w:p>
        </w:tc>
      </w:tr>
      <w:tr>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Intune-managed company laptops</w:t>
            </w:r>
          </w:p>
        </w:tc>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All 9 users on company-owned, encrypted, policy-enforced devices</w:t>
            </w:r>
          </w:p>
        </w:tc>
        <w:tc>
          <w:tcPr>
            <w:tcW w:type="dxa" w:w="3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Reg S-P 248.30(a)(1)-(3); FINRA 3110(a)</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Conditional Access + legacy auth block</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Entra ID restricts M365 to compliant devices. IMAP/POP3/SMTP blocked</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Reg S-P 248.30(a)(3); NIST AC-3, IA-2(1)</w:t>
            </w:r>
          </w:p>
        </w:tc>
      </w:tr>
      <w:tr>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CloudBrink ZTNA</w:t>
            </w:r>
          </w:p>
        </w:tc>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Zero-trust access replaces IP whitelist. Device posture verified per session</w:t>
            </w:r>
          </w:p>
        </w:tc>
        <w:tc>
          <w:tcPr>
            <w:tcW w:type="dxa" w:w="3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Reg S-P 248.30(a)(3); NIST AC-17, SC-7</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Technijian MyAudit (endpoint DLP)</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Block USB, local download, print, clipboard, screen capture</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Reg S-P 248.30(a)(3); NIST AC-19, MP-7</w:t>
            </w:r>
          </w:p>
        </w:tc>
      </w:tr>
      <w:tr>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Technijian SSO/2FA gateway</w:t>
            </w:r>
          </w:p>
        </w:tc>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Enforced, logged MFA on custodian portals and third-party SaaS</w:t>
            </w:r>
          </w:p>
        </w:tc>
        <w:tc>
          <w:tcPr>
            <w:tcW w:type="dxa" w:w="3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Reg S-P 248.30 (2024); NIST IA-2(1)</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Intune MDM/MAM (company phones)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Phone enrollment, app containerization, remote wipe</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Reg S-P 248.30(a)(1)-(3); NIST AC-19, MP-6</w:t>
            </w:r>
          </w:p>
        </w:tc>
      </w:tr>
      <w:tr>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Technijian Veeam Backup for M365</w:t>
            </w:r>
          </w:p>
        </w:tc>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Immutable, non-rewriteable backup of full M365 tenant</w:t>
            </w:r>
          </w:p>
        </w:tc>
        <w:tc>
          <w:tcPr>
            <w:tcW w:type="dxa" w:w="3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SEC Rule 17a-4(b),(f); FINRA 4511</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Technijian monthly assessment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Detect drift; attested evidence of ongoing control operation</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FINRA 3110(c); FINRA 3120</w:t>
            </w:r>
          </w:p>
        </w:tc>
      </w:tr>
    </w:tbl>
    <w:p>
      <w:pPr>
        <w:pBdr>
          <w:bottom w:val="single" w:color="006DB6" w:sz="3"/>
        </w:pBdr>
        <w:spacing w:after="200" w:before="200"/>
      </w:pPr>
    </w:p>
    <w:p>
      <w:pPr>
        <w:pStyle w:val="Heading1"/>
      </w:pPr>
      <w:r>
        <w:rPr>
          <w:rFonts w:ascii="Open Sans" w:cs="Open Sans" w:eastAsia="Open Sans" w:hAnsi="Open Sans"/>
          <w:color w:val="59595B"/>
          <w:sz w:val="22"/>
          <w:szCs w:val="22"/>
        </w:rPr>
        <w:t xml:space="preserve">4. DELIVERABLES</w:t>
      </w:r>
    </w:p>
    <w:p>
      <w:pPr>
        <w:pStyle w:val="ListParagraph"/>
        <w:numPr>
          <w:ilvl w:val="0"/>
          <w:numId w:val="4"/>
        </w:numPr>
      </w:pPr>
      <w:r>
        <w:rPr>
          <w:rFonts w:ascii="Open Sans" w:cs="Open Sans" w:eastAsia="Open Sans" w:hAnsi="Open Sans"/>
          <w:color w:val="59595B"/>
          <w:sz w:val="22"/>
          <w:szCs w:val="22"/>
        </w:rPr>
        <w:t xml:space="preserve">9 Intune-managed company laptops with full Technijian security stack</w:t>
      </w:r>
    </w:p>
    <w:p>
      <w:pPr>
        <w:pStyle w:val="ListParagraph"/>
        <w:numPr>
          <w:ilvl w:val="0"/>
          <w:numId w:val="4"/>
        </w:numPr>
      </w:pPr>
      <w:r>
        <w:rPr>
          <w:rFonts w:ascii="Open Sans" w:cs="Open Sans" w:eastAsia="Open Sans" w:hAnsi="Open Sans"/>
          <w:color w:val="59595B"/>
          <w:sz w:val="22"/>
          <w:szCs w:val="22"/>
        </w:rPr>
        <w:t xml:space="preserve">CloudBrink ZTNA deployed with per-application micro-segmented access</w:t>
      </w:r>
    </w:p>
    <w:p>
      <w:pPr>
        <w:pStyle w:val="ListParagraph"/>
        <w:numPr>
          <w:ilvl w:val="0"/>
          <w:numId w:val="4"/>
        </w:numPr>
      </w:pPr>
      <w:r>
        <w:rPr>
          <w:rFonts w:ascii="Open Sans" w:cs="Open Sans" w:eastAsia="Open Sans" w:hAnsi="Open Sans"/>
          <w:color w:val="59595B"/>
          <w:sz w:val="22"/>
          <w:szCs w:val="22"/>
        </w:rPr>
        <w:t xml:space="preserve">Schwab and IBKR transitioned from office-IP whitelist to CloudBrink ZTNA</w:t>
      </w:r>
    </w:p>
    <w:p>
      <w:pPr>
        <w:pStyle w:val="ListParagraph"/>
        <w:numPr>
          <w:ilvl w:val="0"/>
          <w:numId w:val="4"/>
        </w:numPr>
      </w:pPr>
      <w:r>
        <w:rPr>
          <w:rFonts w:ascii="Open Sans" w:cs="Open Sans" w:eastAsia="Open Sans" w:hAnsi="Open Sans"/>
          <w:color w:val="59595B"/>
          <w:sz w:val="22"/>
          <w:szCs w:val="22"/>
        </w:rPr>
        <w:t xml:space="preserve">Conditional Access: M365 restricted to compliant managed devices, legacy auth blocked</w:t>
      </w:r>
    </w:p>
    <w:p>
      <w:pPr>
        <w:pStyle w:val="ListParagraph"/>
        <w:numPr>
          <w:ilvl w:val="0"/>
          <w:numId w:val="4"/>
        </w:numPr>
      </w:pPr>
      <w:r>
        <w:rPr>
          <w:rFonts w:ascii="Open Sans" w:cs="Open Sans" w:eastAsia="Open Sans" w:hAnsi="Open Sans"/>
          <w:color w:val="59595B"/>
          <w:sz w:val="22"/>
          <w:szCs w:val="22"/>
        </w:rPr>
        <w:t xml:space="preserve">MyAudit UAM+DLP deployed on all 9 managed laptops</w:t>
      </w:r>
    </w:p>
    <w:p>
      <w:pPr>
        <w:pStyle w:val="ListParagraph"/>
        <w:numPr>
          <w:ilvl w:val="0"/>
          <w:numId w:val="4"/>
        </w:numPr>
      </w:pPr>
      <w:r>
        <w:rPr>
          <w:rFonts w:ascii="Open Sans" w:cs="Open Sans" w:eastAsia="Open Sans" w:hAnsi="Open Sans"/>
          <w:color w:val="59595B"/>
          <w:sz w:val="22"/>
          <w:szCs w:val="22"/>
        </w:rPr>
        <w:t xml:space="preserve">SSO/2FA gateway deployed on all managed endpoints for custodian portals</w:t>
      </w:r>
    </w:p>
    <w:p>
      <w:pPr>
        <w:pStyle w:val="ListParagraph"/>
        <w:numPr>
          <w:ilvl w:val="0"/>
          <w:numId w:val="4"/>
        </w:numPr>
      </w:pPr>
      <w:r>
        <w:rPr>
          <w:rFonts w:ascii="Open Sans" w:cs="Open Sans" w:eastAsia="Open Sans" w:hAnsi="Open Sans"/>
          <w:color w:val="59595B"/>
          <w:sz w:val="22"/>
          <w:szCs w:val="22"/>
        </w:rPr>
        <w:t xml:space="preserve">9 company phones enrolled in Intune MDM with App Protection policies</w:t>
      </w:r>
    </w:p>
    <w:p>
      <w:pPr>
        <w:pStyle w:val="ListParagraph"/>
        <w:numPr>
          <w:ilvl w:val="0"/>
          <w:numId w:val="4"/>
        </w:numPr>
      </w:pPr>
      <w:r>
        <w:rPr>
          <w:rFonts w:ascii="Open Sans" w:cs="Open Sans" w:eastAsia="Open Sans" w:hAnsi="Open Sans"/>
          <w:color w:val="59595B"/>
          <w:sz w:val="22"/>
          <w:szCs w:val="22"/>
        </w:rPr>
        <w:t xml:space="preserve">Compliance documentation suite aligned with managed-device architecture</w:t>
      </w:r>
    </w:p>
    <w:p>
      <w:pPr>
        <w:pStyle w:val="ListParagraph"/>
        <w:numPr>
          <w:ilvl w:val="0"/>
          <w:numId w:val="4"/>
        </w:numPr>
      </w:pPr>
      <w:r>
        <w:rPr>
          <w:rFonts w:ascii="Open Sans" w:cs="Open Sans" w:eastAsia="Open Sans" w:hAnsi="Open Sans"/>
          <w:color w:val="59595B"/>
          <w:sz w:val="22"/>
          <w:szCs w:val="22"/>
        </w:rPr>
        <w:t xml:space="preserve">Schedule A amendment to MSA-AFFG-2026 adding managed-device control services</w:t>
      </w:r>
    </w:p>
    <w:p>
      <w:pPr>
        <w:pStyle w:val="ListParagraph"/>
        <w:numPr>
          <w:ilvl w:val="0"/>
          <w:numId w:val="4"/>
        </w:numPr>
      </w:pPr>
      <w:r>
        <w:rPr>
          <w:rFonts w:ascii="Open Sans" w:cs="Open Sans" w:eastAsia="Open Sans" w:hAnsi="Open Sans"/>
          <w:color w:val="59595B"/>
          <w:sz w:val="22"/>
          <w:szCs w:val="22"/>
        </w:rPr>
        <w:t xml:space="preserve">Post-deployment compliance gap assessment confirming all control-to-citation commitments are met</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5. PRICING AND PAYMENT</w:t>
      </w:r>
    </w:p>
    <w:p>
      <w:pPr>
        <w:pStyle w:val="Heading2"/>
      </w:pPr>
      <w:r>
        <w:rPr>
          <w:rFonts w:ascii="Open Sans" w:cs="Open Sans" w:eastAsia="Open Sans" w:hAnsi="Open Sans"/>
          <w:color w:val="59595B"/>
          <w:sz w:val="22"/>
          <w:szCs w:val="22"/>
        </w:rPr>
        <w:t xml:space="preserve">5.1 Labor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1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Rate</w:t>
            </w:r>
          </w:p>
        </w:tc>
        <w:tc>
          <w:tcPr>
            <w:tcW w:type="dxa" w:w="1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Hours</w:t>
            </w:r>
          </w:p>
        </w:tc>
        <w:tc>
          <w:tcPr>
            <w:tcW w:type="dxa" w:w="29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Labor</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Tech Support (IRV-TS1)</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$150/hr</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28</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$4,200.00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India Tech Support (CHD-TS1)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$45/hr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62</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$2,790.00</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90 hrs</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$6,990.00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5.2 Payment Schedule</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2960"/>
      </w:tblGrid>
      <w:tr>
        <w:tc>
          <w:tcPr>
            <w:tcW w:type="dxa" w:w="2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Milestone</w:t>
            </w:r>
          </w:p>
        </w:tc>
        <w:tc>
          <w:tcPr>
            <w:tcW w:type="dxa" w:w="35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Trigger</w:t>
            </w:r>
          </w:p>
        </w:tc>
        <w:tc>
          <w:tcPr>
            <w:tcW w:type="dxa" w:w="29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Amount</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50% upon SOW execution</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SOW signed by both parties</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$3,495.00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 upon Phase 4 completion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Fleet cutover complete (all 9 users operating on managed Macs, 4 legacy devices offboarded)</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$1,747.50</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 upon Phase 6 delivery</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Documentation + Schedule A amendment accepted</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$1,747.50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$6,990.00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5.3 Payment Terms</w:t>
      </w:r>
    </w:p>
    <w:p>
      <w:r>
        <w:rPr>
          <w:rFonts w:ascii="Open Sans" w:cs="Open Sans" w:eastAsia="Open Sans" w:hAnsi="Open Sans"/>
          <w:color w:val="59595B"/>
          <w:sz w:val="22"/>
          <w:szCs w:val="22"/>
        </w:rPr>
        <w:t xml:space="preserve">All invoices are due and payable within thirty (30) days of the invoice date. Late payments are subject to a late fee of 1.5% per month on the unpaid balance.</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6. ASSUMPTIONS</w:t>
      </w:r>
    </w:p>
    <w:p>
      <w:pPr>
        <w:pStyle w:val="ListParagraph"/>
        <w:numPr>
          <w:ilvl w:val="0"/>
          <w:numId w:val="5"/>
        </w:numPr>
      </w:pPr>
      <w:r>
        <w:rPr>
          <w:rFonts w:ascii="Open Sans" w:cs="Open Sans" w:eastAsia="Open Sans" w:hAnsi="Open Sans"/>
          <w:color w:val="59595B"/>
          <w:sz w:val="22"/>
          <w:szCs w:val="22"/>
        </w:rPr>
        <w:t xml:space="preserve">AFFG has procured 9 company Apple endpoints (3 Mac Minis and 6 Apple Neo notebooks) running a currently supported macOS release, each with its hardware serial registered in Apple Business Manager for Automated Device Enrollment into Technijian’s Intune tenant</w:t>
      </w:r>
    </w:p>
    <w:p>
      <w:pPr>
        <w:pStyle w:val="ListParagraph"/>
        <w:numPr>
          <w:ilvl w:val="0"/>
          <w:numId w:val="5"/>
        </w:numPr>
      </w:pPr>
      <w:r>
        <w:rPr>
          <w:rFonts w:ascii="Open Sans" w:cs="Open Sans" w:eastAsia="Open Sans" w:hAnsi="Open Sans"/>
          <w:color w:val="59595B"/>
          <w:sz w:val="22"/>
          <w:szCs w:val="22"/>
        </w:rPr>
        <w:t xml:space="preserve">AFFG has procured 9 company phones (iOS or Android) for Intune MDM enrollment</w:t>
      </w:r>
    </w:p>
    <w:p>
      <w:pPr>
        <w:pStyle w:val="ListParagraph"/>
        <w:numPr>
          <w:ilvl w:val="0"/>
          <w:numId w:val="5"/>
        </w:numPr>
      </w:pPr>
      <w:r>
        <w:rPr>
          <w:rFonts w:ascii="Open Sans" w:cs="Open Sans" w:eastAsia="Open Sans" w:hAnsi="Open Sans"/>
          <w:color w:val="59595B"/>
          <w:sz w:val="22"/>
          <w:szCs w:val="22"/>
        </w:rPr>
        <w:t xml:space="preserve">AFFG has procured CloudBrink ZTNA per-user subscription licenses for 9 users</w:t>
      </w:r>
    </w:p>
    <w:p>
      <w:pPr>
        <w:pStyle w:val="ListParagraph"/>
        <w:numPr>
          <w:ilvl w:val="0"/>
          <w:numId w:val="5"/>
        </w:numPr>
      </w:pPr>
      <w:r>
        <w:rPr>
          <w:rFonts w:ascii="Open Sans" w:cs="Open Sans" w:eastAsia="Open Sans" w:hAnsi="Open Sans"/>
          <w:color w:val="59595B"/>
          <w:sz w:val="22"/>
          <w:szCs w:val="22"/>
        </w:rPr>
        <w:t xml:space="preserve">AFFG’s M365 tenant remains licensed at E3 or E5 (Intune, Conditional Access, DLP included)</w:t>
      </w:r>
    </w:p>
    <w:p>
      <w:pPr>
        <w:pStyle w:val="ListParagraph"/>
        <w:numPr>
          <w:ilvl w:val="0"/>
          <w:numId w:val="5"/>
        </w:numPr>
      </w:pPr>
      <w:r>
        <w:rPr>
          <w:rFonts w:ascii="Open Sans" w:cs="Open Sans" w:eastAsia="Open Sans" w:hAnsi="Open Sans"/>
          <w:color w:val="59595B"/>
          <w:sz w:val="22"/>
          <w:szCs w:val="22"/>
        </w:rPr>
        <w:t xml:space="preserve">All 9 AFFG users are available for cutover coordination and training during Weeks 7–12</w:t>
      </w:r>
    </w:p>
    <w:p>
      <w:pPr>
        <w:pStyle w:val="ListParagraph"/>
        <w:numPr>
          <w:ilvl w:val="0"/>
          <w:numId w:val="5"/>
        </w:numPr>
      </w:pPr>
      <w:r>
        <w:rPr>
          <w:rFonts w:ascii="Open Sans" w:cs="Open Sans" w:eastAsia="Open Sans" w:hAnsi="Open Sans"/>
          <w:color w:val="59595B"/>
          <w:sz w:val="22"/>
          <w:szCs w:val="22"/>
        </w:rPr>
        <w:t xml:space="preserve">Schwab Advisor Services and Interactive Brokers approve the transition from the existing office-IP whitelist to CloudBrink ZTNA within their standard processing timelines</w:t>
      </w:r>
    </w:p>
    <w:p>
      <w:pPr>
        <w:pStyle w:val="ListParagraph"/>
        <w:numPr>
          <w:ilvl w:val="0"/>
          <w:numId w:val="5"/>
        </w:numPr>
      </w:pPr>
      <w:r>
        <w:rPr>
          <w:rFonts w:ascii="Open Sans" w:cs="Open Sans" w:eastAsia="Open Sans" w:hAnsi="Open Sans"/>
          <w:color w:val="59595B"/>
          <w:sz w:val="22"/>
          <w:szCs w:val="22"/>
        </w:rPr>
        <w:t xml:space="preserve">The 4 legacy devices in offboarding scope (1 MacBook Pro and 3 Windows systems: KIKI, LEON, MAGGIE) are accessible for secure wipe and retirement during the cutover window; no recovery of data from these devices is required post-cutover</w:t>
      </w:r>
    </w:p>
    <w:p>
      <w:pPr>
        <w:pStyle w:val="ListParagraph"/>
        <w:numPr>
          <w:ilvl w:val="0"/>
          <w:numId w:val="5"/>
        </w:numPr>
      </w:pPr>
      <w:r>
        <w:rPr>
          <w:rFonts w:ascii="Open Sans" w:cs="Open Sans" w:eastAsia="Open Sans" w:hAnsi="Open Sans"/>
          <w:color w:val="59595B"/>
          <w:sz w:val="22"/>
          <w:szCs w:val="22"/>
        </w:rPr>
        <w:t xml:space="preserve">MyAudit UAM+DLP, SSO/2FA, and Credential Manager agents are deployed in their current macOS-supported editions; any macOS-specific DLP-coverage gaps are documented in the Phase 5 gap assessment (Ticket AFFG-004-024) rather than treated as a SOW defect</w:t>
      </w:r>
    </w:p>
    <w:p>
      <w:pPr>
        <w:pStyle w:val="ListParagraph"/>
        <w:numPr>
          <w:ilvl w:val="0"/>
          <w:numId w:val="5"/>
        </w:numPr>
      </w:pPr>
      <w:r>
        <w:rPr>
          <w:rFonts w:ascii="Open Sans" w:cs="Open Sans" w:eastAsia="Open Sans" w:hAnsi="Open Sans"/>
          <w:color w:val="59595B"/>
          <w:sz w:val="22"/>
          <w:szCs w:val="22"/>
        </w:rPr>
        <w:t xml:space="preserve">Starting-state network is the production network defined in the signed MSA-AFFG-2026 Schedule A; no Horizon VDI environment is in place and none is deployed as part of this SOW</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7. EXCLUSIONS</w:t>
      </w:r>
    </w:p>
    <w:p>
      <w:pPr>
        <w:pStyle w:val="ListParagraph"/>
        <w:numPr>
          <w:ilvl w:val="0"/>
          <w:numId w:val="6"/>
        </w:numPr>
      </w:pPr>
      <w:r>
        <w:rPr>
          <w:rFonts w:ascii="Open Sans" w:cs="Open Sans" w:eastAsia="Open Sans" w:hAnsi="Open Sans"/>
          <w:color w:val="59595B"/>
          <w:sz w:val="22"/>
          <w:szCs w:val="22"/>
        </w:rPr>
        <w:t xml:space="preserve">CloudBrink per-user subscription licensing (AFFG-procured)</w:t>
      </w:r>
    </w:p>
    <w:p>
      <w:pPr>
        <w:pStyle w:val="ListParagraph"/>
        <w:numPr>
          <w:ilvl w:val="0"/>
          <w:numId w:val="6"/>
        </w:numPr>
      </w:pPr>
      <w:r>
        <w:rPr>
          <w:rFonts w:ascii="Open Sans" w:cs="Open Sans" w:eastAsia="Open Sans" w:hAnsi="Open Sans"/>
          <w:color w:val="59595B"/>
          <w:sz w:val="22"/>
          <w:szCs w:val="22"/>
        </w:rPr>
        <w:t xml:space="preserve">Hardware procurement (company laptops and phones)</w:t>
      </w:r>
    </w:p>
    <w:p>
      <w:pPr>
        <w:pStyle w:val="ListParagraph"/>
        <w:numPr>
          <w:ilvl w:val="0"/>
          <w:numId w:val="6"/>
        </w:numPr>
      </w:pPr>
      <w:r>
        <w:rPr>
          <w:rFonts w:ascii="Open Sans" w:cs="Open Sans" w:eastAsia="Open Sans" w:hAnsi="Open Sans"/>
          <w:color w:val="59595B"/>
          <w:sz w:val="22"/>
          <w:szCs w:val="22"/>
        </w:rPr>
        <w:t xml:space="preserve">Microsoft 365 license costs (AFFG procures directly)</w:t>
      </w:r>
    </w:p>
    <w:p>
      <w:pPr>
        <w:pStyle w:val="ListParagraph"/>
        <w:numPr>
          <w:ilvl w:val="0"/>
          <w:numId w:val="6"/>
        </w:numPr>
      </w:pPr>
      <w:r>
        <w:rPr>
          <w:rFonts w:ascii="Open Sans" w:cs="Open Sans" w:eastAsia="Open Sans" w:hAnsi="Open Sans"/>
          <w:color w:val="59595B"/>
          <w:sz w:val="22"/>
          <w:szCs w:val="22"/>
        </w:rPr>
        <w:t xml:space="preserve">Technijian My Archive (AFFG operates own archiving)</w:t>
      </w:r>
    </w:p>
    <w:p>
      <w:pPr>
        <w:pStyle w:val="ListParagraph"/>
        <w:numPr>
          <w:ilvl w:val="0"/>
          <w:numId w:val="6"/>
        </w:numPr>
      </w:pPr>
      <w:r>
        <w:rPr>
          <w:rFonts w:ascii="Open Sans" w:cs="Open Sans" w:eastAsia="Open Sans" w:hAnsi="Open Sans"/>
          <w:color w:val="59595B"/>
          <w:sz w:val="22"/>
          <w:szCs w:val="22"/>
        </w:rPr>
        <w:t xml:space="preserve">Any remediation beyond the scope described; significant issues discovered during migration scoped as separate change order</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8. MONTHLY COST IMPACT</w:t>
      </w:r>
    </w:p>
    <w:p>
      <w:pPr>
        <w:pStyle w:val="Heading2"/>
      </w:pPr>
      <w:r>
        <w:rPr>
          <w:rFonts w:ascii="Open Sans" w:cs="Open Sans" w:eastAsia="Open Sans" w:hAnsi="Open Sans"/>
          <w:color w:val="59595B"/>
          <w:sz w:val="22"/>
          <w:szCs w:val="22"/>
        </w:rPr>
        <w:t xml:space="preserve">8.1 Current vs. Proposed Monthly Recurring</w:t>
      </w:r>
    </w:p>
    <w:p>
      <w:r>
        <w:rPr>
          <w:rFonts w:ascii="Open Sans" w:cs="Open Sans" w:eastAsia="Open Sans" w:hAnsi="Open Sans"/>
          <w:i/>
          <w:iCs/>
          <w:color w:val="59595B"/>
          <w:sz w:val="22"/>
          <w:szCs w:val="22"/>
        </w:rPr>
        <w:t xml:space="preserve">Baseline is the signed MSA-AFFG-2026 Schedule A as reflected on the executed Monthly Service Quote dated March 2026. Under this SOW the endpoint fleet is consolidated from the 16 Windows-priced desktops in the signed Schedule A down to 9 macOS-priced Apple endpoints (3 Mac Minis + 6 Apple Neo notebooks). The 4 legacy devices in offboarding scope (1 MacBook Pro and 3 Windows systems KIKI/LEON/MAGGIE) are removed from managed inventory. The 31 M365 user services, 6 IP services, 1 domain service, and Virtual Staff Support are not altered by this SOW.</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Current Monthly (signed MSA Schedule A, no VDI) = $2,794.50/mo</w:t>
      </w:r>
    </w:p>
    <w:p>
      <w:pPr>
        <w:spacing w:after="120"/>
      </w:pPr>
      <w:r>
        <w:rPr>
          <w:rFonts w:ascii="Open Sans" w:cs="Open Sans" w:eastAsia="Open Sans" w:hAnsi="Open Sans"/>
          <w:color w:val="59595B"/>
          <w:sz w:val="22"/>
          <w:szCs w:val="22"/>
        </w:rPr>
        <w:t xml:space="preserve"/>
      </w: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1800"/>
        <w:gridCol w:w="1560"/>
      </w:tblGrid>
      <w:tr>
        <w:tc>
          <w:tcPr>
            <w:tcW w:type="dxa" w:w="33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Category</w:t>
            </w:r>
          </w:p>
        </w:tc>
        <w:tc>
          <w:tcPr>
            <w:tcW w:type="dxa" w:w="1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Current Monthly</w:t>
            </w:r>
          </w:p>
        </w:tc>
        <w:tc>
          <w:tcPr>
            <w:tcW w:type="dxa" w:w="1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Proposed Monthly</w:t>
            </w:r>
          </w:p>
        </w:tc>
        <w:tc>
          <w:tcPr>
            <w:tcW w:type="dxa" w:w="15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Change</w:t>
            </w:r>
          </w:p>
        </w:tc>
      </w:tr>
      <w:tr>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Endpoint Security Stack (Current: 16 Windows-priced desktops → Proposed: 9 macOS-priced endpoints)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$424.00</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$301.50</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-$122.50</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Managed Endpoint Control Stack (NEW — 9 Macs: AMDLP1Y, SSO-2FA, CRM)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$0.00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$1,125.90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+$1,125.90</w:t>
            </w:r>
          </w:p>
        </w:tc>
      </w:tr>
      <w:tr>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M365 User Services (31 users: V365, PHT)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$263.50</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$263.50</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$0.00</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IP Services (6 IPs: RTPT)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$42.00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$42.00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$0.00</w:t>
            </w:r>
          </w:p>
        </w:tc>
      </w:tr>
      <w:tr>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Domain Services (1 domain: SA, DKIM)</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$70.00</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$70.00</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$0.00</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Virtual Staff Support (IRV + CHD + CTO)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$1,995.00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$1,995.00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$0.00</w:t>
            </w:r>
          </w:p>
        </w:tc>
      </w:tr>
      <w:tr>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 MONTHLY</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$2,794.50</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$3,797.90</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+$1,003.40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8.2 Current Endpoint Security Stack Detail (16 Windows desktops, per signed MSA)</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800"/>
        <w:gridCol w:w="1400"/>
        <w:gridCol w:w="1360"/>
      </w:tblGrid>
      <w:tr>
        <w:tc>
          <w:tcPr>
            <w:tcW w:type="dxa" w:w="2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Service</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Code</w:t>
            </w:r>
          </w:p>
        </w:tc>
        <w:tc>
          <w:tcPr>
            <w:tcW w:type="dxa" w:w="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Qty</w:t>
            </w:r>
          </w:p>
        </w:tc>
        <w:tc>
          <w:tcPr>
            <w:tcW w:type="dxa" w:w="1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Unit Price</w:t>
            </w:r>
          </w:p>
        </w:tc>
        <w:tc>
          <w:tcPr>
            <w:tcW w:type="dxa" w:w="13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Monthly</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 Protection — Desktop (CrowdStrike)</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AVD</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$8.50</w:t>
            </w:r>
          </w:p>
        </w:tc>
        <w:tc>
          <w:tcPr>
            <w:tcW w:type="dxa" w:w="1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$136.00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AVH Protection — Desktop (Huntress)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AVMH</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$96.00</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My Secure Internet (DNS Filtering)</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SI</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$6.00</w:t>
            </w:r>
          </w:p>
        </w:tc>
        <w:tc>
          <w:tcPr>
            <w:tcW w:type="dxa" w:w="1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$96.00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Patch Management — Windows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PMW</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$64.00</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My Remote</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MR</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16</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$2.00</w:t>
            </w:r>
          </w:p>
        </w:tc>
        <w:tc>
          <w:tcPr>
            <w:tcW w:type="dxa" w:w="1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$32.00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Subtotal (signed)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16</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$26.50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$424.00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8.3 Proposed Endpoint Stack Detail (9 macOS endpoints)</w:t>
      </w:r>
    </w:p>
    <w:p>
      <w:r>
        <w:rPr>
          <w:rFonts w:ascii="Open Sans" w:cs="Open Sans" w:eastAsia="Open Sans" w:hAnsi="Open Sans"/>
          <w:i/>
          <w:iCs/>
          <w:color w:val="59595B"/>
          <w:sz w:val="22"/>
          <w:szCs w:val="22"/>
        </w:rPr>
        <w:t xml:space="preserve">The Technijian endpoint security stack (AVD, AVMH, SI, MR) is deployed to the 9 Apple endpoints under Phase 1 Ticket AFFG-004-005. Patch Management switches from PMW ($4/Windows) to PMMAC ($11/Mac) — a $7/unit uplift driven by the higher operational cost of macOS patch orchestration. The reduction in unit count (16 Windows → 9 macOS) produces a net -$122.50/mo change. The Managed Endpoint Control Stack (AMDLP1Y + SSO-2FA + CRM) is the NEW capability added by this SOW to satisfy Reg S-P 2024 endpoint DLP, MFA gateway, and credential vault requirements.</w:t>
      </w:r>
    </w:p>
    <w:p>
      <w:pPr>
        <w:spacing w:after="120"/>
      </w:pPr>
      <w:r>
        <w:rPr>
          <w:rFonts w:ascii="Open Sans" w:cs="Open Sans" w:eastAsia="Open Sans" w:hAnsi="Open Sans"/>
          <w:color w:val="59595B"/>
          <w:sz w:val="22"/>
          <w:szCs w:val="22"/>
        </w:rP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800"/>
        <w:gridCol w:w="1400"/>
        <w:gridCol w:w="1360"/>
      </w:tblGrid>
      <w:tr>
        <w:tc>
          <w:tcPr>
            <w:tcW w:type="dxa" w:w="2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Service</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Code</w:t>
            </w:r>
          </w:p>
        </w:tc>
        <w:tc>
          <w:tcPr>
            <w:tcW w:type="dxa" w:w="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Qty</w:t>
            </w:r>
          </w:p>
        </w:tc>
        <w:tc>
          <w:tcPr>
            <w:tcW w:type="dxa" w:w="1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Unit Price</w:t>
            </w:r>
          </w:p>
        </w:tc>
        <w:tc>
          <w:tcPr>
            <w:tcW w:type="dxa" w:w="13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Monthly</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Endpoint Security Stack (9 macOS units)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 Protection — CrowdStrike Falcon for Mac</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AVD</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$8.50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$76.50</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AVH Protection — Huntress macOS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AVMH</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$6.00</w:t>
            </w:r>
          </w:p>
        </w:tc>
        <w:tc>
          <w:tcPr>
            <w:tcW w:type="dxa" w:w="1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$54.00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My Secure Internet (Umbrella macOS)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SI</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$54.00</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Patch Management — macOS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PMMAC</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$11.00</w:t>
            </w:r>
          </w:p>
        </w:tc>
        <w:tc>
          <w:tcPr>
            <w:tcW w:type="dxa" w:w="1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$99.00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My Remote (macOS)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MR</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$18.00</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Managed Endpoint Control Stack (NEW)</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MyAudit UAM+DLP / 1-Year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AMDLP1Y</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$108.10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$972.90</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SSO / Multi-Factor</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SSO-2FA</w:t>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$12.00</w:t>
            </w:r>
          </w:p>
        </w:tc>
        <w:tc>
          <w:tcPr>
            <w:tcW w:type="dxa" w:w="1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$108.00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Credential Manager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CRM</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$5.00</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$45.00</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Subtotal per Mac endpoint</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9</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$158.60</w:t>
            </w:r>
          </w:p>
        </w:tc>
        <w:tc>
          <w:tcPr>
            <w:tcW w:type="dxa" w:w="1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$1,427.40</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i/>
          <w:iCs/>
          <w:color w:val="59595B"/>
          <w:sz w:val="22"/>
          <w:szCs w:val="22"/>
        </w:rPr>
        <w:t xml:space="preserve">Notes: Intune management for the 9 Apple endpoints and 9 company phones is included in the M365 E3 license AFFG already holds — no additional Technijian charge. Apple Business Manager is procured by AFFG at no cost. CloudBrink ZTNA subscription is AFFG-procured and therefore excluded from the Schedule A amendment. Per-managed-Mac monthly = $158.60 ($33.50 endpoint security + $125.10 managed control).</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9. CHANGE MANAGEMENT</w:t>
      </w:r>
    </w:p>
    <w:p>
      <w:r>
        <w:rPr>
          <w:rFonts w:ascii="Open Sans" w:cs="Open Sans" w:eastAsia="Open Sans" w:hAnsi="Open Sans"/>
          <w:color w:val="59595B"/>
          <w:sz w:val="22"/>
          <w:szCs w:val="22"/>
        </w:rPr>
        <w:t xml:space="preserve">9.01. Any changes to the scope, schedule, or pricing of this SOW must be documented in a written Change Order signed by both Parties before work on the change begins.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9.02. If Client requests work outside the defined scope, Technijian shall provide a Change Order detailing the additional work, estimated hours, and cost impact.</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9.03. Technijian shall not proceed with out-of-scope work without an approved Change Order, except in cases where delay would result in harm to Client’s systems, in which case Technijian shall notify Client as soon as practicable.</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10. ACCEPTANCE</w:t>
      </w:r>
    </w:p>
    <w:p>
      <w:r>
        <w:rPr>
          <w:rFonts w:ascii="Open Sans" w:cs="Open Sans" w:eastAsia="Open Sans" w:hAnsi="Open Sans"/>
          <w:color w:val="59595B"/>
          <w:sz w:val="22"/>
          <w:szCs w:val="22"/>
        </w:rPr>
        <w:t xml:space="preserve">10.01. Upon completion of each phase, Technijian shall notify Client in writing that the deliverables are ready for review.</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10.02. Client shall review the deliverables and provide written acceptance or a detailed description of deficiencies within five (5) business days.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10.03. If Client does not respond within the review period, the deliverables shall be deemed accepted.</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10.04. If deficiencies are identified, Technijian shall correct them and resubmit for review. This process shall repeat until acceptance is achieved or the Parties agree on a resolution.</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11. GOVERNING TERMS</w:t>
      </w:r>
    </w:p>
    <w:p>
      <w:r>
        <w:rPr>
          <w:rFonts w:ascii="Open Sans" w:cs="Open Sans" w:eastAsia="Open Sans" w:hAnsi="Open Sans"/>
          <w:color w:val="59595B"/>
          <w:sz w:val="22"/>
          <w:szCs w:val="22"/>
        </w:rPr>
        <w:t xml:space="preserve">11.01. This SOW is governed by the Client Monthly Service Agreement between the Parties executed via DocuSign on March 11, 2026 (DocuSign Envelope F3CDFC05-B156-8A6F-8020-13A164F4E3F1) (the “Original Agreement”), as amended by Section 12 of this SOW. In the event of a conflict between this SOW (including Section 12 and Exhibit A) and the Original Agreement, this SOW shall prevail.</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12. INCORPORATION OF 2026 MSA FRAMEWORK (AMENDMENT TO ORIGINAL AGREEMENT)</w:t>
      </w:r>
    </w:p>
    <w:p>
      <w:r>
        <w:rPr>
          <w:rFonts w:ascii="Open Sans" w:cs="Open Sans" w:eastAsia="Open Sans" w:hAnsi="Open Sans"/>
          <w:color w:val="59595B"/>
          <w:sz w:val="22"/>
          <w:szCs w:val="22"/>
        </w:rPr>
        <w:t xml:space="preserve">12.01. Purpose. This Section 12 is a mutual written amendment to the Original Agreement, executed pursuant to California Civil Code § 1698(a) (“A contract in writing may be modified by a contract in writing”). The Parties enter into this amendment to update the Original Agreement to reflect Technijian’s 2026 Master Service Agreement framework, which contains additional legal and data-protection provisions appropriate to AFFG’s status as a dually registered Investment Adviser and Broker-Dealer subject to SEC Regulation S-P (including the 2024 Amendments), FINRA Rule 3110, FINRA Rule 4370, and SEC Rule 17a-4.</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12.02. Incorporation by Reference. Upon execution of this SOW by both Parties, Sections 2 through 10 of Technijian’s 2026 Master Service Agreement framework (the “MSA Framework Provisions”), the full text of which is set forth in Exhibit A attached hereto and incorporated herein by this reference, shall apply to the Original Agreement and to this SOW as if fully set forth in the Original Agreement.</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12.03. Addition and Substitution. The MSA Framework Provisions supplement the Original Agreement and, to the extent of any conflict with a corresponding provision of the Original Agreement, supersede such corresponding provision. For clarity:</w:t>
      </w:r>
    </w:p>
    <w:p>
      <w:pPr>
        <w:pStyle w:val="ListParagraph"/>
        <w:numPr>
          <w:ilvl w:val="0"/>
          <w:numId w:val="7"/>
        </w:numPr>
      </w:pPr>
      <w:r>
        <w:rPr>
          <w:rFonts w:ascii="Open Sans" w:cs="Open Sans" w:eastAsia="Open Sans" w:hAnsi="Open Sans"/>
          <w:color w:val="59595B"/>
          <w:sz w:val="22"/>
          <w:szCs w:val="22"/>
        </w:rPr>
        <w:t xml:space="preserve">Section 2 (Term and Renewal), Section 3 (Payment), Section 4 (Confidentiality), Section 5 (Limitation of Liability), Section 6 (Indemnification), Section 7 (Intellectual Property), Section 8 (Dispute Resolution), Section 9 (General Provisions), and Section 10 (Data Protection) of the MSA Framework Provisions are added to the Original Agreement.</w:t>
      </w:r>
    </w:p>
    <w:p>
      <w:pPr>
        <w:pStyle w:val="ListParagraph"/>
        <w:numPr>
          <w:ilvl w:val="0"/>
          <w:numId w:val="7"/>
        </w:numPr>
      </w:pPr>
      <w:r>
        <w:rPr>
          <w:rFonts w:ascii="Open Sans" w:cs="Open Sans" w:eastAsia="Open Sans" w:hAnsi="Open Sans"/>
          <w:color w:val="59595B"/>
          <w:sz w:val="22"/>
          <w:szCs w:val="22"/>
        </w:rPr>
        <w:t xml:space="preserve">The late-fee rate of 1.5% per month stated in the Original Agreement is consistent with Section 3.04 of the MSA Framework Provisions and remains unchanged.</w:t>
      </w:r>
    </w:p>
    <w:p>
      <w:pPr>
        <w:pStyle w:val="ListParagraph"/>
        <w:numPr>
          <w:ilvl w:val="0"/>
          <w:numId w:val="7"/>
        </w:numPr>
      </w:pPr>
      <w:r>
        <w:rPr>
          <w:rFonts w:ascii="Open Sans" w:cs="Open Sans" w:eastAsia="Open Sans" w:hAnsi="Open Sans"/>
          <w:color w:val="59595B"/>
          <w:sz w:val="22"/>
          <w:szCs w:val="22"/>
        </w:rPr>
        <w:t xml:space="preserve">The Virtual Staff Support hours and rates under the Original Agreement (CTO Advisory 3 hrs @ $225, US Tech Support 6 hrs @ $125, India Tech Normal 22 hrs @ $15, India Tech After-Hours 8 hrs @ $30) remain UNCHANGED and carry forward.</w:t>
      </w:r>
    </w:p>
    <w:p>
      <w:pPr>
        <w:pStyle w:val="ListParagraph"/>
        <w:numPr>
          <w:ilvl w:val="0"/>
          <w:numId w:val="7"/>
        </w:numPr>
      </w:pPr>
      <w:r>
        <w:rPr>
          <w:rFonts w:ascii="Open Sans" w:cs="Open Sans" w:eastAsia="Open Sans" w:hAnsi="Open Sans"/>
          <w:color w:val="59595B"/>
          <w:sz w:val="22"/>
          <w:szCs w:val="22"/>
        </w:rPr>
        <w:t xml:space="preserve">Section 9.01 (Entire Agreement) of the MSA Framework Provisions is hereby modified, for purposes of this amendment only, to provide that the Original Agreement is amended (not superseded) by this Section 12, and that the monthly service charges under the Original Agreement shall be updated only as expressly provided in Section 8 of this SOW.</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12.04. Effect on Services. Upon execution, all services provided by Technijian to Client — including the recurring services under Schedule A of the Original Agreement, the services described in this SOW, and any future Statement of Work executed between the Parties — shall be governed by the Original Agreement as amended by this Section 12. Future Statements of Work may reference the “Parent Agreement” as “Client Monthly Service Agreement as amended by SOW-AFFG-004 Section 12.”</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12.05. No Other Changes. Except as expressly modified by this Section 12 and Section 8 of this SOW, the Original Agreement remains in full force and effect. Services already rendered, fees already paid, and rights already accrued under the Original Agreement are not affected.</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12.06. Severability. If any provision of this Section 12 or of Exhibit A is held invalid or unenforceable by a court of competent jurisdiction, the remaining provisions of the Original Agreement (as amended) and this SOW shall continue in full force and effect.</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12.07. Effective Date of Amendment. This amendment is effective upon execution of this SOW by authorized representatives of both Parties, and the MSA Framework Provisions shall govern services from and after the Effective Date stated in the SOW header.</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SIGNATURES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pPr>
        <w:spacing w:after="120"/>
      </w:pPr>
      <w:r>
        <w:rPr>
          <w:rFonts w:ascii="Open Sans" w:cs="Open Sans" w:eastAsia="Open Sans" w:hAnsi="Open Sans"/>
          <w:color w:val="59595B"/>
          <w:sz w:val="22"/>
          <w:szCs w:val="22"/>
        </w:rPr>
        <w:t xml:space="preserve"/>
      </w:r>
    </w:p>
    <w:p>
      <w:pPr>
        <w:spacing w:after="40"/>
      </w:pPr>
      <w:r>
        <w:rPr>
          <w:rFonts w:ascii="Open Sans" w:cs="Open Sans" w:eastAsia="Open Sans" w:hAnsi="Open Sans"/>
          <w:color w:val="FFFFFF"/>
          <w:sz w:val="2"/>
          <w:szCs w:val="2"/>
        </w:rPr>
        <w:t xml:space="preserve">/tSign/</w:t>
      </w:r>
      <w:r>
        <w:rPr>
          <w:rFonts w:ascii="Open Sans" w:cs="Open Sans" w:eastAsia="Open Sans" w:hAnsi="Open Sans"/>
          <w:color w:val="59595B"/>
          <w:sz w:val="20"/>
          <w:szCs w:val="20"/>
        </w:rPr>
        <w:t xml:space="preserve">By: ___________________________________</w:t>
      </w:r>
    </w:p>
    <w:p>
      <w:pPr>
        <w:spacing w:after="40"/>
      </w:pPr>
      <w:r>
        <w:rPr>
          <w:rFonts w:ascii="Open Sans" w:cs="Open Sans" w:eastAsia="Open Sans" w:hAnsi="Open Sans"/>
          <w:color w:val="FFFFFF"/>
          <w:sz w:val="2"/>
          <w:szCs w:val="2"/>
        </w:rPr>
        <w:t xml:space="preserve">/tName/</w:t>
      </w:r>
      <w:r>
        <w:rPr>
          <w:rFonts w:ascii="Open Sans" w:cs="Open Sans" w:eastAsia="Open Sans" w:hAnsi="Open Sans"/>
          <w:color w:val="59595B"/>
          <w:sz w:val="20"/>
          <w:szCs w:val="20"/>
        </w:rPr>
        <w:t xml:space="preserve">Name: _________________________________</w:t>
      </w:r>
    </w:p>
    <w:p>
      <w:pPr>
        <w:spacing w:after="40"/>
      </w:pPr>
      <w:r>
        <w:rPr>
          <w:rFonts w:ascii="Open Sans" w:cs="Open Sans" w:eastAsia="Open Sans" w:hAnsi="Open Sans"/>
          <w:color w:val="FFFFFF"/>
          <w:sz w:val="2"/>
          <w:szCs w:val="2"/>
        </w:rPr>
        <w:t xml:space="preserve">/tTitle/</w:t>
      </w:r>
      <w:r>
        <w:rPr>
          <w:rFonts w:ascii="Open Sans" w:cs="Open Sans" w:eastAsia="Open Sans" w:hAnsi="Open Sans"/>
          <w:color w:val="59595B"/>
          <w:sz w:val="20"/>
          <w:szCs w:val="20"/>
        </w:rPr>
        <w:t xml:space="preserve">Title: _________________________________</w:t>
      </w:r>
    </w:p>
    <w:p>
      <w:pPr>
        <w:spacing w:after="40"/>
      </w:pPr>
      <w:r>
        <w:rPr>
          <w:rFonts w:ascii="Open Sans" w:cs="Open Sans" w:eastAsia="Open Sans" w:hAnsi="Open Sans"/>
          <w:color w:val="FFFFFF"/>
          <w:sz w:val="2"/>
          <w:szCs w:val="2"/>
        </w:rPr>
        <w:t xml:space="preserve">/tDate/</w:t>
      </w:r>
      <w:r>
        <w:rPr>
          <w:rFonts w:ascii="Open Sans" w:cs="Open Sans" w:eastAsia="Open Sans" w:hAnsi="Open Sans"/>
          <w:color w:val="59595B"/>
          <w:sz w:val="20"/>
          <w:szCs w:val="20"/>
        </w:rPr>
        <w:t xml:space="preserve">Date: _________________________________</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AMERICAN FUNDSTARS FINANCIAL GROUP LLC</w:t>
      </w:r>
    </w:p>
    <w:p>
      <w:pPr>
        <w:spacing w:after="120"/>
      </w:pPr>
      <w:r>
        <w:rPr>
          <w:rFonts w:ascii="Open Sans" w:cs="Open Sans" w:eastAsia="Open Sans" w:hAnsi="Open Sans"/>
          <w:color w:val="59595B"/>
          <w:sz w:val="22"/>
          <w:szCs w:val="22"/>
        </w:rPr>
        <w:t xml:space="preserve"/>
      </w:r>
    </w:p>
    <w:p>
      <w:pPr>
        <w:spacing w:after="40"/>
      </w:pPr>
      <w:r>
        <w:rPr>
          <w:rFonts w:ascii="Open Sans" w:cs="Open Sans" w:eastAsia="Open Sans" w:hAnsi="Open Sans"/>
          <w:color w:val="FFFFFF"/>
          <w:sz w:val="2"/>
          <w:szCs w:val="2"/>
        </w:rPr>
        <w:t xml:space="preserve">/cSign/</w:t>
      </w:r>
      <w:r>
        <w:rPr>
          <w:rFonts w:ascii="Open Sans" w:cs="Open Sans" w:eastAsia="Open Sans" w:hAnsi="Open Sans"/>
          <w:color w:val="59595B"/>
          <w:sz w:val="20"/>
          <w:szCs w:val="20"/>
        </w:rPr>
        <w:t xml:space="preserve">By: ___________________________________</w:t>
      </w:r>
    </w:p>
    <w:p>
      <w:pPr>
        <w:spacing w:after="40"/>
      </w:pPr>
      <w:r>
        <w:rPr>
          <w:rFonts w:ascii="Open Sans" w:cs="Open Sans" w:eastAsia="Open Sans" w:hAnsi="Open Sans"/>
          <w:color w:val="FFFFFF"/>
          <w:sz w:val="2"/>
          <w:szCs w:val="2"/>
        </w:rPr>
        <w:t xml:space="preserve">/cName/</w:t>
      </w:r>
      <w:r>
        <w:rPr>
          <w:rFonts w:ascii="Open Sans" w:cs="Open Sans" w:eastAsia="Open Sans" w:hAnsi="Open Sans"/>
          <w:color w:val="59595B"/>
          <w:sz w:val="20"/>
          <w:szCs w:val="20"/>
        </w:rPr>
        <w:t xml:space="preserve">Name: _________________________________</w:t>
      </w:r>
    </w:p>
    <w:p>
      <w:pPr>
        <w:spacing w:after="40"/>
      </w:pPr>
      <w:r>
        <w:rPr>
          <w:rFonts w:ascii="Open Sans" w:cs="Open Sans" w:eastAsia="Open Sans" w:hAnsi="Open Sans"/>
          <w:color w:val="FFFFFF"/>
          <w:sz w:val="2"/>
          <w:szCs w:val="2"/>
        </w:rPr>
        <w:t xml:space="preserve">/cTitle/</w:t>
      </w:r>
      <w:r>
        <w:rPr>
          <w:rFonts w:ascii="Open Sans" w:cs="Open Sans" w:eastAsia="Open Sans" w:hAnsi="Open Sans"/>
          <w:color w:val="59595B"/>
          <w:sz w:val="20"/>
          <w:szCs w:val="20"/>
        </w:rPr>
        <w:t xml:space="preserve">Title: _________________________________</w:t>
      </w:r>
    </w:p>
    <w:p>
      <w:pPr>
        <w:spacing w:after="40"/>
      </w:pPr>
      <w:r>
        <w:rPr>
          <w:rFonts w:ascii="Open Sans" w:cs="Open Sans" w:eastAsia="Open Sans" w:hAnsi="Open Sans"/>
          <w:color w:val="FFFFFF"/>
          <w:sz w:val="2"/>
          <w:szCs w:val="2"/>
        </w:rPr>
        <w:t xml:space="preserve">/cDate/</w:t>
      </w:r>
      <w:r>
        <w:rPr>
          <w:rFonts w:ascii="Open Sans" w:cs="Open Sans" w:eastAsia="Open Sans" w:hAnsi="Open Sans"/>
          <w:color w:val="59595B"/>
          <w:sz w:val="20"/>
          <w:szCs w:val="20"/>
        </w:rPr>
        <w:t xml:space="preserve">Date: _________________________________</w:t>
      </w:r>
    </w:p>
    <w:p>
      <w:r>
        <w:br w:type="page"/>
      </w:r>
    </w:p>
    <w:p>
      <w:pPr>
        <w:pStyle w:val="Heading1"/>
      </w:pPr>
      <w:r>
        <w:rPr>
          <w:rFonts w:ascii="Open Sans" w:cs="Open Sans" w:eastAsia="Open Sans" w:hAnsi="Open Sans"/>
          <w:color w:val="59595B"/>
          <w:sz w:val="22"/>
          <w:szCs w:val="22"/>
        </w:rPr>
        <w:t xml:space="preserve">EXHIBIT A — 2026 MSA FRAMEWORK PROVISIONS INCORPORATED BY REFERENCE</w:t>
      </w:r>
    </w:p>
    <w:p>
      <w:r>
        <w:rPr>
          <w:rFonts w:ascii="Open Sans" w:cs="Open Sans" w:eastAsia="Open Sans" w:hAnsi="Open Sans"/>
          <w:i/>
          <w:iCs/>
          <w:color w:val="59595B"/>
          <w:sz w:val="22"/>
          <w:szCs w:val="22"/>
        </w:rPr>
        <w:t xml:space="preserve">The following provisions (Sections 2 through 10) are the “MSA Framework Provisions” incorporated into the Original Agreement by Section 12 of this SOW. This Exhibit A is an integral part of this SOW and of the Original Agreement as amended. Capitalized terms not defined herein have the meanings given in the Original Agreement or the SOW body.</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SECTION 2 — TERM AND RENEWAL</w:t>
      </w:r>
    </w:p>
    <w:p>
      <w:r>
        <w:rPr>
          <w:rFonts w:ascii="Open Sans" w:cs="Open Sans" w:eastAsia="Open Sans" w:hAnsi="Open Sans"/>
          <w:color w:val="59595B"/>
          <w:sz w:val="22"/>
          <w:szCs w:val="22"/>
        </w:rPr>
        <w:t xml:space="preserve">2.01. Initial Term. This Agreement shall commence on the Effective Date and continue for a period of twelve (12) months (the “Initial Term”).</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2.02. Renewal. Upon expiration of the Initial Term, this Agreement shall automatically renew for successive twelve (12) month periods (each a “Renewal Term”), unless either Party provides written notice of non-renewal at least sixty (60) days prior to the expiration of the then-current term. Technijian shall send Client a written renewal reminder at least thirty (30) days prior to each renewal date, which shall restate the auto-renewal terms and cancellation method.</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2.03. Termination for Convenience. Either Party may terminate this Agreement for any reason upon sixty (60) days written notice to the other Party.</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2.04. Termination for Cause. Either Party may terminate this Agreement immediately upon written notice if the other Party:</w:t>
      </w:r>
    </w:p>
    <w:p>
      <w:r>
        <w:rPr>
          <w:rFonts w:ascii="Open Sans" w:cs="Open Sans" w:eastAsia="Open Sans" w:hAnsi="Open Sans"/>
          <w:color w:val="59595B"/>
          <w:sz w:val="22"/>
          <w:szCs w:val="22"/>
        </w:rPr>
        <w:t xml:space="preserve">(a) Commits a material breach of this Agreement and fails to cure such breach within thirty (30) days after receiving written notice of the breach; or</w:t>
      </w:r>
    </w:p>
    <w:p>
      <w:r>
        <w:rPr>
          <w:rFonts w:ascii="Open Sans" w:cs="Open Sans" w:eastAsia="Open Sans" w:hAnsi="Open Sans"/>
          <w:color w:val="59595B"/>
          <w:sz w:val="22"/>
          <w:szCs w:val="22"/>
        </w:rPr>
        <w:t xml:space="preserve">(b) Becomes insolvent, files for bankruptcy, or has a receiver appointed for its assets.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2.05. Effect of Termination.</w:t>
      </w:r>
    </w:p>
    <w:p>
      <w:r>
        <w:rPr>
          <w:rFonts w:ascii="Open Sans" w:cs="Open Sans" w:eastAsia="Open Sans" w:hAnsi="Open Sans"/>
          <w:color w:val="59595B"/>
          <w:sz w:val="22"/>
          <w:szCs w:val="22"/>
        </w:rPr>
        <w:t xml:space="preserve">(a) Upon termination, Client shall pay all fees and charges for services rendered through the date of termination, including any remaining obligations for annual licenses and subscriptions procured on Client’s behalf, and any unpaid balance of contracted Virtual Staff Support hours actually worked in excess of contracted levels.</w:t>
      </w:r>
    </w:p>
    <w:p>
      <w:r>
        <w:rPr>
          <w:rFonts w:ascii="Open Sans" w:cs="Open Sans" w:eastAsia="Open Sans" w:hAnsi="Open Sans"/>
          <w:color w:val="59595B"/>
          <w:sz w:val="22"/>
          <w:szCs w:val="22"/>
        </w:rPr>
        <w:t xml:space="preserve">(b) Technijian shall provide reasonable transition assistance for a period of up to thirty (30) days following termination, subject to payment of applicable fees.</w:t>
      </w:r>
    </w:p>
    <w:p>
      <w:r>
        <w:rPr>
          <w:rFonts w:ascii="Open Sans" w:cs="Open Sans" w:eastAsia="Open Sans" w:hAnsi="Open Sans"/>
          <w:color w:val="59595B"/>
          <w:sz w:val="22"/>
          <w:szCs w:val="22"/>
        </w:rPr>
        <w:t xml:space="preserve">(c) Technijian shall return all Client Data in its possession within thirty (30) days of termination, in a commercially standard format, provided Client is not in breach of this Agreement.</w:t>
      </w:r>
    </w:p>
    <w:p>
      <w:r>
        <w:rPr>
          <w:rFonts w:ascii="Open Sans" w:cs="Open Sans" w:eastAsia="Open Sans" w:hAnsi="Open Sans"/>
          <w:color w:val="59595B"/>
          <w:sz w:val="22"/>
          <w:szCs w:val="22"/>
        </w:rPr>
        <w:t xml:space="preserve">(d) The following sections shall survive termination: Section 3 (Payment), Section 4 (Confidentiality), Section 5 (Limitation of Liability), Section 6 (Indemnification), Section 7 (Intellectual Property), Section 8 (Dispute Resolution), Section 9.09 (Personnel Transition Fee), and Section 10 (Data Protection).</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3 — PAYMENT</w:t>
      </w:r>
    </w:p>
    <w:p>
      <w:r>
        <w:rPr>
          <w:rFonts w:ascii="Open Sans" w:cs="Open Sans" w:eastAsia="Open Sans" w:hAnsi="Open Sans"/>
          <w:color w:val="59595B"/>
          <w:sz w:val="22"/>
          <w:szCs w:val="22"/>
        </w:rPr>
        <w:t xml:space="preserve">3.01. Fees. Client shall pay fees for the services as set forth in the applicable Schedule, SOW, or invoice. Fees are exclusive of applicable taxes.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3.02. Invoice Types. Client may receive the following types of invoices from Technijian during the term of this Agreement. Each invoice will clearly identify its type, the applicable Schedule or SOW, and the billing period or delivery event.</w:t>
      </w:r>
    </w:p>
    <w:p>
      <w:r>
        <w:rPr>
          <w:rFonts w:ascii="Open Sans" w:cs="Open Sans" w:eastAsia="Open Sans" w:hAnsi="Open Sans"/>
          <w:color w:val="59595B"/>
          <w:sz w:val="22"/>
          <w:szCs w:val="22"/>
        </w:rPr>
        <w:t xml:space="preserve">(a) Monthly Service Invoice. Issued on the first business day of each month for recurring managed services under Schedule A. Billed in advance for the upcoming month.</w:t>
      </w:r>
    </w:p>
    <w:p>
      <w:r>
        <w:rPr>
          <w:rFonts w:ascii="Open Sans" w:cs="Open Sans" w:eastAsia="Open Sans" w:hAnsi="Open Sans"/>
          <w:color w:val="59595B"/>
          <w:sz w:val="22"/>
          <w:szCs w:val="22"/>
        </w:rPr>
        <w:t xml:space="preserve">(b) Weekly In-Contract Invoice. Issued every Friday for Virtual Staff (contracted support) services performed under Schedule A during the preceding week (Monday through Friday). Each invoice includes: (i) a listing of each support ticket addressed; (ii) the assigned resource, role, and hours spent per ticket; (iii) a description of the work performed per ticket; (iv) whether work was performed during normal or after-hours; and (v) the current running balance for each contracted role.</w:t>
      </w:r>
    </w:p>
    <w:p>
      <w:r>
        <w:rPr>
          <w:rFonts w:ascii="Open Sans" w:cs="Open Sans" w:eastAsia="Open Sans" w:hAnsi="Open Sans"/>
          <w:color w:val="59595B"/>
          <w:sz w:val="22"/>
          <w:szCs w:val="22"/>
        </w:rPr>
        <w:t xml:space="preserve">(c) Weekly Out-of-Contract Invoice. Issued every Friday for labor services performed outside the scope of any active Schedule or SOW — including ad-hoc support requests, emergency work, and services performed under a SOW with hourly billing. Each invoice includes: (i) a listing of each support ticket or task performed; (ii) the assigned resource, role, and applicable hourly rate from the Rate Card (Schedule C); (iii) time entries with hours billed per activity (in 15-minute increments); (iv) whether work was performed during normal or after-hours; and (v) the total hours and total amount for the week.</w:t>
      </w:r>
    </w:p>
    <w:p>
      <w:r>
        <w:rPr>
          <w:rFonts w:ascii="Open Sans" w:cs="Open Sans" w:eastAsia="Open Sans" w:hAnsi="Open Sans"/>
          <w:color w:val="59595B"/>
          <w:sz w:val="22"/>
          <w:szCs w:val="22"/>
        </w:rPr>
        <w:t xml:space="preserve">(d) Equipment and Materials Invoice. Issued upon delivery or procurement of hardware, software licenses (perpetual), or other tangible goods on Client’s behalf. Each invoice includes: (i) item description, manufacturer, and model/part number; (ii) quantity and unit price; (iii) applicable sales tax; (iv) shipping and handling charges, if any; and (v) total amount due. Title to equipment shall not pass to Client until payment is received in full.</w:t>
      </w:r>
    </w:p>
    <w:p>
      <w:r>
        <w:rPr>
          <w:rFonts w:ascii="Open Sans" w:cs="Open Sans" w:eastAsia="Open Sans" w:hAnsi="Open Sans"/>
          <w:color w:val="59595B"/>
          <w:sz w:val="22"/>
          <w:szCs w:val="22"/>
        </w:rPr>
        <w:t xml:space="preserve">(e) Project Milestone Invoice. Issued upon completion of a project milestone as defined in an applicable SOW. The milestone, deliverables, and invoiced amount are as specified in the payment schedule of the SOW. Milestone invoices are billed in arrears upon acceptance of the deliverables or deemed acceptance under the SOW’s acceptance provisions.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3.03. Payment Terms. All invoices are due and payable within thirty (30) days of the invoice date, unless otherwise specified in the applicable Schedule or SOW.</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3.04. Late Payment. Invoices not paid within terms shall accrue a late fee of 1.5% per month (or the maximum rate permitted by law, whichever is less) on the unpaid balance, calculated as simple interest from the date payment was due until the date payment is received in full. Late fees are payable in addition to the outstanding principal amount. The Parties acknowledge that the late fee represents a reasonable estimate of Technijian’s administrative costs and damages resulting from late payment, including cash-flow disruption, collection overhead, and the cost of carrying accounts receivable, and is not intended as a penalty.</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3.05. Disputed Invoices.</w:t>
      </w:r>
    </w:p>
    <w:p>
      <w:r>
        <w:rPr>
          <w:rFonts w:ascii="Open Sans" w:cs="Open Sans" w:eastAsia="Open Sans" w:hAnsi="Open Sans"/>
          <w:color w:val="59595B"/>
          <w:sz w:val="22"/>
          <w:szCs w:val="22"/>
        </w:rPr>
        <w:t xml:space="preserve">(a) Weekly Invoices (In-Contract and Out-of-Contract). Because weekly invoices include detailed ticket descriptions and time entries, Client shall have thirty (30) days from the invoice date to review and dispute any portion of a weekly invoice. Client shall notify Technijian in writing, specifying the ticket number(s) and nature of the dispute. Undisputed tickets and time entries on the same invoice shall remain payable by the due date. Failure to provide a timely written dispute notice within the thirty (30) day period shall constitute acceptance of all tickets and time entries on the invoice.</w:t>
      </w:r>
    </w:p>
    <w:p>
      <w:r>
        <w:rPr>
          <w:rFonts w:ascii="Open Sans" w:cs="Open Sans" w:eastAsia="Open Sans" w:hAnsi="Open Sans"/>
          <w:color w:val="59595B"/>
          <w:sz w:val="22"/>
          <w:szCs w:val="22"/>
        </w:rPr>
        <w:t xml:space="preserve">(b) All Other Invoices. For monthly service invoices, equipment invoices, and project milestone invoices, Client shall notify Technijian in writing within fifteen (15) days of the invoice date if Client disputes any portion, specifying the nature and basis of the dispute. Client shall pay all undisputed amounts by the due date. Failure to provide a timely written dispute notice shall constitute acceptance of the invoice.</w:t>
      </w:r>
    </w:p>
    <w:p>
      <w:r>
        <w:rPr>
          <w:rFonts w:ascii="Open Sans" w:cs="Open Sans" w:eastAsia="Open Sans" w:hAnsi="Open Sans"/>
          <w:color w:val="59595B"/>
          <w:sz w:val="22"/>
          <w:szCs w:val="22"/>
        </w:rPr>
        <w:t xml:space="preserve">(c) Resolution. The Parties shall work in good faith to resolve any invoice dispute within thirty (30) days of the dispute notice. If the dispute results in an adjustment, Technijian shall issue a credit memo or revised invoice within ten (10) business days of resolution.</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3.06. Suspension of Services. If Client fails to pay any undisputed invoice within thirty (30) days of the due date, Technijian may, upon ten (10) days written notice, suspend services under the Schedule or SOW associated with the unpaid invoice until payment is received in full, including all accrued late fees. If Client fails to pay any undisputed invoice within sixty (60) days of the due date, Technijian may suspend all services under this Agreement and any related Schedules or SOWs. Recurring fees for suspended services shall continue to accrue for a period not to exceed thirty (30) days following the date of suspension, after which Technijian may terminate the affected Schedule, SOW, or this Agreement upon written notice. Suspension of services shall not relieve Client of its payment obligations.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3.07. Taxes. Client shall be responsible for all applicable sales, use, and other taxes arising from the services, excluding taxes based on Technijian’s income.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4 — CONFIDENTIALITY</w:t>
      </w:r>
    </w:p>
    <w:p>
      <w:r>
        <w:rPr>
          <w:rFonts w:ascii="Open Sans" w:cs="Open Sans" w:eastAsia="Open Sans" w:hAnsi="Open Sans"/>
          <w:color w:val="59595B"/>
          <w:sz w:val="22"/>
          <w:szCs w:val="22"/>
        </w:rPr>
        <w:t xml:space="preserve">4.01. Definition. “Confidential Information” means any non-public information disclosed by either Party to the other in connection with this Agreement, including business, technical, and financial information.</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4.02. Obligations. Each Party shall:</w:t>
      </w:r>
    </w:p>
    <w:p>
      <w:r>
        <w:rPr>
          <w:rFonts w:ascii="Open Sans" w:cs="Open Sans" w:eastAsia="Open Sans" w:hAnsi="Open Sans"/>
          <w:color w:val="59595B"/>
          <w:sz w:val="22"/>
          <w:szCs w:val="22"/>
        </w:rPr>
        <w:t xml:space="preserve">(a) Hold the other Party’s Confidential Information in confidence using at least the same degree of care it uses for its own confidential information, but not less than reasonable care;</w:t>
      </w:r>
    </w:p>
    <w:p>
      <w:r>
        <w:rPr>
          <w:rFonts w:ascii="Open Sans" w:cs="Open Sans" w:eastAsia="Open Sans" w:hAnsi="Open Sans"/>
          <w:color w:val="59595B"/>
          <w:sz w:val="22"/>
          <w:szCs w:val="22"/>
        </w:rPr>
        <w:t xml:space="preserve">(b) Not disclose Confidential Information to third parties without prior written consent, except to employees, agents, and subcontractors who have a need to know and are bound by equivalent obligations; and</w:t>
      </w:r>
    </w:p>
    <w:p>
      <w:r>
        <w:rPr>
          <w:rFonts w:ascii="Open Sans" w:cs="Open Sans" w:eastAsia="Open Sans" w:hAnsi="Open Sans"/>
          <w:color w:val="59595B"/>
          <w:sz w:val="22"/>
          <w:szCs w:val="22"/>
        </w:rPr>
        <w:t xml:space="preserve">(c) Not use Confidential Information for any purpose other than performing obligations under this Agreement.</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4.03. Exclusions. Confidential Information does not include information that is or becomes publicly available through no fault of the receiving Party, was known to the receiving Party prior to disclosure, is independently developed, or is received from a third party without restriction.</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4.04. Compelled Disclosure. If required by law or court order to disclose Confidential Information, the receiving Party shall provide prompt written notice to the disclosing Party and cooperate in seeking a protective order.</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4.05. Duration. Confidentiality obligations shall survive termination for a period of three (3) years.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5 — LIMITATION OF LIABILITY</w:t>
      </w:r>
    </w:p>
    <w:p>
      <w:r>
        <w:rPr>
          <w:rFonts w:ascii="Open Sans" w:cs="Open Sans" w:eastAsia="Open Sans" w:hAnsi="Open Sans"/>
          <w:b/>
          <w:bCs/>
          <w:color w:val="59595B"/>
          <w:sz w:val="22"/>
          <w:szCs w:val="22"/>
        </w:rPr>
        <w:t xml:space="preserve">5.01. EXCEPT AS PROVIDED IN SECTION 5.03 BELOW, NEITHER PARTY’S TOTAL AGGREGATE LIABILITY UNDER THIS AGREEMENT SHALL EXCEED THE TOTAL FEES PAID OR PAYABLE BY CLIENT UNDER THIS AGREEMENT DURING THE TWELVE (12) MONTH PERIOD IMMEDIATELY PRECEDING THE EVENT GIVING RISE TO THE CLAIM (THE “STANDARD CAP”).</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59595B"/>
          <w:sz w:val="22"/>
          <w:szCs w:val="22"/>
        </w:rPr>
        <w:t xml:space="preserve">5.02. EXCEPT AS PROVIDED IN SECTION 5.03 BELOW, IN NO EVENT SHALL EITHER PARTY BE LIABLE FOR ANY INDIRECT, INCIDENTAL, SPECIAL, CONSEQUENTIAL, OR PUNITIVE DAMAGES, INCLUDING LOSS OF PROFITS, DATA, BUSINESS OPPORTUNITY, OR GOODWILL, REGARDLESS OF WHETHER SUCH DAMAGES WERE FORESEEABLE OR WHETHER EITHER PARTY HAS BEEN ADVISED OF THE POSSIBILITY OF SUCH DAMAGES.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59595B"/>
          <w:sz w:val="22"/>
          <w:szCs w:val="22"/>
        </w:rPr>
        <w:t xml:space="preserve">5.03. ENHANCED CAP FOR CERTAIN CLAIMS. FOR CLAIMS ARISING FROM BREACHES OF SECTION 4 (CONFIDENTIALITY), SECTION 10 (DATA PROTECTION), INDEMNIFICATION OBLIGATIONS UNDER SECTION 6, WILLFUL MISCONDUCT, OR GROSS NEGLIGENCE, THE TOTAL AGGREGATE LIABILITY OF THE RESPONSIBLE PARTY SHALL NOT EXCEED THREE (3) TIMES THE STANDARD CAP DEFINED IN SECTION 5.01 (THE “ENHANCED CAP”). THE ENHANCED CAP SHALL NOT APPLY TO LIABILITY ARISING FROM A PARTY’S WILLFUL AND INTENTIONAL MISAPPROPRIATION OF THE OTHER PARTY’S CONFIDENTIAL INFORMATION OR CLIENT DATA, FOR WHICH LIABILITY SHALL BE UNCAPPED.</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5.04. Data Liability. While Technijian shall use commercially reasonable efforts to protect Client Data, Client acknowledges that Client is solely responsible for maintaining backup copies of its data.</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6 — INDEMNIFICATION</w:t>
      </w:r>
    </w:p>
    <w:p>
      <w:r>
        <w:rPr>
          <w:rFonts w:ascii="Open Sans" w:cs="Open Sans" w:eastAsia="Open Sans" w:hAnsi="Open Sans"/>
          <w:color w:val="59595B"/>
          <w:sz w:val="22"/>
          <w:szCs w:val="22"/>
        </w:rPr>
        <w:t xml:space="preserve">6.01. By Technijian. Technijian shall indemnify, defend, and hold harmless Client from and against any third-party claims arising from Technijian’s gross negligence or willful misconduct in performing the services.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6.02. By Client. Client shall indemnify, defend, and hold harmless Technijian from and against any third-party claims arising from Client’s use of the services in violation of applicable law, Client’s breach of this Agreement, or any data, content, or materials provided by Client.</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6.03. Procedure. The indemnified Party shall provide prompt written notice of any claim, cooperate with the indemnifying Party in the defense, and not settle any claim without the indemnifying Party’s prior written consent.</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7 — INTELLECTUAL PROPERTY</w:t>
      </w:r>
    </w:p>
    <w:p>
      <w:r>
        <w:rPr>
          <w:rFonts w:ascii="Open Sans" w:cs="Open Sans" w:eastAsia="Open Sans" w:hAnsi="Open Sans"/>
          <w:color w:val="59595B"/>
          <w:sz w:val="22"/>
          <w:szCs w:val="22"/>
        </w:rPr>
        <w:t xml:space="preserve">7.01. Technijian IP. Technijian retains all right, title, and interest in its proprietary tools, methodologies, software, and processes.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7.02. Client IP. Client retains all right, title, and interest in its data, content, and pre-existing intellectual property.</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7.03. Custom Development. Ownership of any custom software or materials developed under a SOW shall be governed by the terms of that SOW.</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8 — DISPUTE RESOLUTION</w:t>
      </w:r>
    </w:p>
    <w:p>
      <w:r>
        <w:rPr>
          <w:rFonts w:ascii="Open Sans" w:cs="Open Sans" w:eastAsia="Open Sans" w:hAnsi="Open Sans"/>
          <w:color w:val="59595B"/>
          <w:sz w:val="22"/>
          <w:szCs w:val="22"/>
        </w:rPr>
        <w:t xml:space="preserve">8.01. Escalation. The Parties shall first attempt to resolve any dispute through good faith negotiations for a period of thirty (30) days.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8.02. Mediation. If not resolved, the Parties shall submit the dispute to mediation in Orange County, California, for a period not to exceed sixty (60) days.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8.03. Arbitration. If mediation fails, any remaining dispute shall be resolved by binding arbitration administered by the American Arbitration Association in Orange County, California.</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8.04. Injunctive Relief. Nothing in this Section shall prevent either Party from seeking injunctive or other equitable relief to prevent irreparable harm.</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9 — GENERAL PROVISIONS</w:t>
      </w:r>
    </w:p>
    <w:p>
      <w:r>
        <w:rPr>
          <w:rFonts w:ascii="Open Sans" w:cs="Open Sans" w:eastAsia="Open Sans" w:hAnsi="Open Sans"/>
          <w:color w:val="59595B"/>
          <w:sz w:val="22"/>
          <w:szCs w:val="22"/>
        </w:rPr>
        <w:t xml:space="preserve">9.01. Entire Agreement. This Agreement, together with its Schedules and any SOWs, constitutes the entire agreement between the Parties. As modified by Section 12.03(d) of SOW-AFFG-004, this Section 9.01 does not supersede the Original Agreement; rather, the Original Agreement is amended by SOW-AFFG-004 Section 12 to incorporate the MSA Framework Provisions. The Virtual Staff Support hours and rates under the Original Agreement (CTO Advisory 3 hrs @ $225, US Tech Support 6 hrs @ $125, India Tech Normal 22 hrs @ $15, India Tech After-Hours 8 hrs @ $30) remain UNCHANGED and carry forward.</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9.02. Amendment. This Agreement may only be amended by a written instrument signed by both Parties.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9.03. Severability. If any provision is found invalid or unenforceable, the remaining provisions shall continue in full force.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9.04. Waiver. No waiver of any provision shall be effective unless in writing and signed by the waiving Party.</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9.05. Assignment. Neither Party may assign this Agreement without prior written consent, except in connection with a merger, acquisition, or sale of substantially all assets.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9.06. Force Majeure.</w:t>
      </w:r>
    </w:p>
    <w:p>
      <w:r>
        <w:rPr>
          <w:rFonts w:ascii="Open Sans" w:cs="Open Sans" w:eastAsia="Open Sans" w:hAnsi="Open Sans"/>
          <w:color w:val="59595B"/>
          <w:sz w:val="22"/>
          <w:szCs w:val="22"/>
        </w:rPr>
        <w:t xml:space="preserve">(a) Neither Party shall be liable for delays or failures in performance caused by events beyond its reasonable control, including natural disasters, acts of government, labor disputes, pandemics, cyberattacks on critical infrastructure, or failures of major third-party infrastructure services that are not attributable to the affected Party’s failure to implement reasonable redundancy (“Force Majeure Event”).</w:t>
      </w:r>
    </w:p>
    <w:p>
      <w:r>
        <w:rPr>
          <w:rFonts w:ascii="Open Sans" w:cs="Open Sans" w:eastAsia="Open Sans" w:hAnsi="Open Sans"/>
          <w:color w:val="59595B"/>
          <w:sz w:val="22"/>
          <w:szCs w:val="22"/>
        </w:rPr>
        <w:t xml:space="preserve">(b) The affected Party shall notify the other Party in writing within five (5) business days of becoming aware of a Force Majeure Event and shall use commercially reasonable efforts to mitigate the impact and resume performance.</w:t>
      </w:r>
    </w:p>
    <w:p>
      <w:r>
        <w:rPr>
          <w:rFonts w:ascii="Open Sans" w:cs="Open Sans" w:eastAsia="Open Sans" w:hAnsi="Open Sans"/>
          <w:color w:val="59595B"/>
          <w:sz w:val="22"/>
          <w:szCs w:val="22"/>
        </w:rPr>
        <w:t xml:space="preserve">(c) Payment obligations are not excused by a Force Majeure Event.</w:t>
      </w:r>
    </w:p>
    <w:p>
      <w:r>
        <w:rPr>
          <w:rFonts w:ascii="Open Sans" w:cs="Open Sans" w:eastAsia="Open Sans" w:hAnsi="Open Sans"/>
          <w:color w:val="59595B"/>
          <w:sz w:val="22"/>
          <w:szCs w:val="22"/>
        </w:rPr>
        <w:t xml:space="preserve">(d) If a Force Majeure Event prevents performance of a material portion of the services for more than ninety (90) consecutive days, either Party may terminate the affected Schedule, SOW, or this Agreement upon fifteen (15) days written notice without liability for early termination fees, and Client shall pay only for services actually rendered through the date of termination.</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9.07. Notices. All notices shall be in writing and delivered by email with confirmation, certified mail, or nationally recognized overnight courier.</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9.08. Governing Law. This Agreement shall be governed by the laws of the State of California.</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9.09. Personnel Transition Fee. The Parties acknowledge that each invests significant resources in recruiting, training, and retaining skilled personnel. If either Party hires (whether as an employee or independent contractor) any individual who was an employee of the other Party and who was directly involved in performing or receiving services under this Agreement, and such hiring occurs during the term of this Agreement or within twelve (12) months following termination, the hiring Party shall pay the other Party a personnel transition fee equal to 25% of the hired individual’s first-year annual compensation (base salary or annualized contractor fees). This fee represents a reasonable estimate of the non-hiring Party’s recruiting and training costs and is not intended as a restraint on trade or employment. This Section does not restrict any individual’s right to seek or obtain employment, and shall not apply to individuals who: (a) respond to general public job postings or advertisements not specifically targeted at the other Party’s employees; or (b) are referred by a third-party recruiting firm without the hiring Party’s direction to target the other Party’s employees.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9.10. Counterparts. This Agreement may be executed in counterparts, each of which shall be deemed an original.</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10 — DATA PROTECTION</w:t>
      </w:r>
    </w:p>
    <w:p>
      <w:r>
        <w:rPr>
          <w:rFonts w:ascii="Open Sans" w:cs="Open Sans" w:eastAsia="Open Sans" w:hAnsi="Open Sans"/>
          <w:color w:val="59595B"/>
          <w:sz w:val="22"/>
          <w:szCs w:val="22"/>
        </w:rPr>
        <w:t xml:space="preserve">10.01. CCPA/CPRA Compliance. To the extent Technijian processes, stores, or has access to personal information (as defined under the California Consumer Privacy Act, as amended by the California Privacy Rights Act, Cal. Civ. Code § 1798.100 et seq., collectively “CCPA”) on behalf of Client, Technijian acts as a “service provider” as defined under Cal. Civ. Code § 1798.140(ag) and shall:</w:t>
      </w:r>
    </w:p>
    <w:p>
      <w:r>
        <w:rPr>
          <w:rFonts w:ascii="Open Sans" w:cs="Open Sans" w:eastAsia="Open Sans" w:hAnsi="Open Sans"/>
          <w:color w:val="59595B"/>
          <w:sz w:val="22"/>
          <w:szCs w:val="22"/>
        </w:rPr>
        <w:t xml:space="preserve">(a) Process such personal information only as necessary to perform the services and in accordance with Client’s documented instructions and this Agreement;</w:t>
      </w:r>
    </w:p>
    <w:p>
      <w:r>
        <w:rPr>
          <w:rFonts w:ascii="Open Sans" w:cs="Open Sans" w:eastAsia="Open Sans" w:hAnsi="Open Sans"/>
          <w:color w:val="59595B"/>
          <w:sz w:val="22"/>
          <w:szCs w:val="22"/>
        </w:rPr>
        <w:t xml:space="preserve">(b) Not sell, share, retain, use, or disclose personal information for any purpose other than performing the services, including not using personal information for targeted advertising or cross-context behavioral advertising;</w:t>
      </w:r>
    </w:p>
    <w:p>
      <w:r>
        <w:rPr>
          <w:rFonts w:ascii="Open Sans" w:cs="Open Sans" w:eastAsia="Open Sans" w:hAnsi="Open Sans"/>
          <w:color w:val="59595B"/>
          <w:sz w:val="22"/>
          <w:szCs w:val="22"/>
        </w:rPr>
        <w:t xml:space="preserve">(c) Not combine personal information received from Client with personal information received from other sources or collected from Technijian’s own interactions with individuals, except as expressly permitted by the CCPA to perform the services;</w:t>
      </w:r>
    </w:p>
    <w:p>
      <w:r>
        <w:rPr>
          <w:rFonts w:ascii="Open Sans" w:cs="Open Sans" w:eastAsia="Open Sans" w:hAnsi="Open Sans"/>
          <w:color w:val="59595B"/>
          <w:sz w:val="22"/>
          <w:szCs w:val="22"/>
        </w:rPr>
        <w:t xml:space="preserve">(d) Implement reasonable security measures appropriate to the nature of the personal information, consistent with the requirements of Section 10.03;</w:t>
      </w:r>
    </w:p>
    <w:p>
      <w:r>
        <w:rPr>
          <w:rFonts w:ascii="Open Sans" w:cs="Open Sans" w:eastAsia="Open Sans" w:hAnsi="Open Sans"/>
          <w:color w:val="59595B"/>
          <w:sz w:val="22"/>
          <w:szCs w:val="22"/>
        </w:rPr>
        <w:t xml:space="preserve">(e) Cooperate with Client in responding to verifiable consumer rights requests under the CCPA (including access, deletion, correction, and opt-out requests) within ten (10) business days of Client’s request;</w:t>
      </w:r>
    </w:p>
    <w:p>
      <w:r>
        <w:rPr>
          <w:rFonts w:ascii="Open Sans" w:cs="Open Sans" w:eastAsia="Open Sans" w:hAnsi="Open Sans"/>
          <w:color w:val="59595B"/>
          <w:sz w:val="22"/>
          <w:szCs w:val="22"/>
        </w:rPr>
        <w:t xml:space="preserve">(f) Notify Client within five (5) business days if Technijian determines that it can no longer meet its obligations as a service provider under the CCPA;</w:t>
      </w:r>
    </w:p>
    <w:p>
      <w:r>
        <w:rPr>
          <w:rFonts w:ascii="Open Sans" w:cs="Open Sans" w:eastAsia="Open Sans" w:hAnsi="Open Sans"/>
          <w:color w:val="59595B"/>
          <w:sz w:val="22"/>
          <w:szCs w:val="22"/>
        </w:rPr>
        <w:t xml:space="preserve">(g) Ensure that all subcontractors who process personal information on behalf of Client are bound by written agreements containing data protection obligations at least as protective as those in this Section 10, and Technijian shall remain liable for the acts and omissions of its subcontractors with respect to personal information;</w:t>
      </w:r>
    </w:p>
    <w:p>
      <w:r>
        <w:rPr>
          <w:rFonts w:ascii="Open Sans" w:cs="Open Sans" w:eastAsia="Open Sans" w:hAnsi="Open Sans"/>
          <w:color w:val="59595B"/>
          <w:sz w:val="22"/>
          <w:szCs w:val="22"/>
        </w:rPr>
        <w:t xml:space="preserve">(h) Permit Client, upon thirty (30) days written notice and no more than once per twelve (12) month period, to audit or inspect Technijian’s data processing practices to verify compliance with this Section 10, or, at Technijian’s option, provide Client with a summary of a recent independent third-party audit (such as SOC 2 Type II) covering the relevant controls; and</w:t>
      </w:r>
    </w:p>
    <w:p>
      <w:r>
        <w:rPr>
          <w:rFonts w:ascii="Open Sans" w:cs="Open Sans" w:eastAsia="Open Sans" w:hAnsi="Open Sans"/>
          <w:color w:val="59595B"/>
          <w:sz w:val="22"/>
          <w:szCs w:val="22"/>
        </w:rPr>
        <w:t xml:space="preserve">(i) Certify that Technijian understands the restrictions in this Section 10 and will comply with them.</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10.02. Security Incident Notification. If Technijian becomes aware of a breach of security leading to the accidental or unlawful destruction, loss, alteration, unauthorized disclosure of, or access to Client Data (“Security Incident”), Technijian shall: (a) notify Client in writing without unreasonable delay and in no event later than forty-eight (48) hours after becoming aware of the Security Incident; (b) provide Client with sufficient information to enable Client to comply with its obligations under California Civil Code § 1798.82 (data breach notification), applicable SEC Regulation S-P customer notification requirements, and FINRA Rule 4530 reporting obligations, including the categories and approximate number of records affected, the nature of the incident, and the measures taken or proposed to address it; (c) cooperate with Client’s investigation of the Security Incident; and (d) take reasonable steps to contain and remediate the Security Incident.</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10.03. Data Security. Technijian shall implement and maintain administrative, technical, and physical safeguards designed to protect Client Data from unauthorized access, use, or disclosure, consistent with industry standards for managed IT service providers. Such safeguards shall include, at a minimum: (a) encryption of Client Data in transit and at rest; (b) access controls limiting access to authorized personnel; (c) regular security assessments and vulnerability testing; and (d) employee security awareness training.</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10.04. Regulatory Compliance. Client is a dually registered Investment Adviser and Broker-Dealer subject to SEC Regulation S-P (including the 2024 Amendments), FINRA Rule 4370, FINRA Rule 3110, and SEC Rule 17a-4. The Parties shall cooperate in good faith to implement the controls described in the applicable Schedules and SOWs to support Client’s compliance with these requirements. If additional industry-specific data protection requirements apply, the Parties shall execute a separate addendum addressing the additional obligations applicable to the regulated data.</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10.05. Data Return and Deletion. Upon termination of this Agreement or upon Client’s written request, Technijian shall securely delete or return all Client Data in its possession within thirty (30) days, using methods consistent with NIST SP 800-88 or equivalent standards, and shall certify such deletion in writing upon request.</w:t>
      </w:r>
    </w:p>
    <w:p>
      <w:pPr>
        <w:spacing w:after="120"/>
      </w:pPr>
      <w:r>
        <w:rPr>
          <w:rFonts w:ascii="Open Sans" w:cs="Open Sans" w:eastAsia="Open Sans" w:hAnsi="Open Sans"/>
          <w:color w:val="59595B"/>
          <w:sz w:val="22"/>
          <w:szCs w:val="22"/>
        </w:rPr>
        <w:t xml:space="preserve"/>
      </w:r>
    </w:p>
    <w:p>
      <w:pPr>
        <w:pBdr>
          <w:bottom w:val="single" w:color="006DB6" w:sz="3"/>
        </w:pBdr>
        <w:spacing w:after="200" w:before="200"/>
      </w:pPr>
    </w:p>
    <w:p>
      <w:pPr>
        <w:jc w:val="center"/>
      </w:pPr>
      <w:r>
        <w:rPr>
          <w:rFonts w:ascii="Open Sans" w:cs="Open Sans" w:eastAsia="Open Sans" w:hAnsi="Open Sans"/>
          <w:b/>
          <w:bCs/>
          <w:color w:val="1A1A2E"/>
          <w:sz w:val="22"/>
          <w:szCs w:val="22"/>
        </w:rPr>
        <w:t xml:space="preserve">END OF EXHIBIT 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80"/>
      <w:outlineLvl w:val="1"/>
    </w:pPr>
    <w:rPr>
      <w:rFonts w:ascii="Open Sans" w:cs="Open Sans" w:eastAsia="Open Sans" w:hAnsi="Open Sans"/>
      <w:b/>
      <w:bCs/>
      <w:color w:val="1A1A2E"/>
      <w:sz w:val="28"/>
      <w:szCs w:val="28"/>
    </w:rPr>
  </w:style>
  <w:style w:type="paragraph" w:styleId="Heading3">
    <w:name w:val="Heading 3"/>
    <w:basedOn w:val="Normal"/>
    <w:next w:val="Normal"/>
    <w:qFormat/>
    <w:pPr>
      <w:spacing w:after="120" w:before="20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7ab963d63198c507d4d2f60f27ab9adb7b80f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2026-04-23T18:11:50.638Z</dcterms:created>
  <dcterms:modified xsi:type="dcterms:W3CDTF">2026-04-23T18:11:50.639Z</dcterms:modified>
</cp:coreProperties>
</file>

<file path=docProps/custom.xml><?xml version="1.0" encoding="utf-8"?>
<Properties xmlns="http://schemas.openxmlformats.org/officeDocument/2006/custom-properties" xmlns:vt="http://schemas.openxmlformats.org/officeDocument/2006/docPropsVTypes"/>
</file>