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06DB6" w:val="clear"/>
          </w:tcPr>
          <w:p>
            <w:pPr>
              <w:spacing w:before="0" w:after="0"/>
              <w:spacing w:before="0" w:after="0" w:line="120"/>
            </w:pPr>
            <w:r/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240"/>
          </w:tcPr>
          <w:p>
            <w:pPr>
              <w:spacing w:before="0" w:after="0"/>
            </w:pPr>
            <w:r/>
          </w:p>
        </w:tc>
        <w:tc>
          <w:tcPr>
            <w:tcW w:type="dxa" w:w="3600"/>
            <w:shd w:fill="F67D4B" w:val="clear"/>
          </w:tcPr>
          <w:p>
            <w:pPr>
              <w:spacing w:before="0" w:after="0"/>
            </w:pPr>
            <w:r/>
          </w:p>
        </w:tc>
        <w:tc>
          <w:tcPr>
            <w:tcW w:type="dxa" w:w="3240"/>
          </w:tcPr>
          <w:p>
            <w:pPr>
              <w:spacing w:before="0" w:after="0"/>
            </w:pPr>
            <w:r/>
          </w:p>
        </w:tc>
      </w:tr>
    </w:tbl>
    <w:p>
      <w:pPr>
        <w:spacing w:before="400" w:after="160"/>
        <w:jc w:val="center"/>
      </w:pPr>
      <w:r>
        <w:rPr>
          <w:rFonts w:ascii="Open Sans" w:hAnsi="Open Sans"/>
          <w:b/>
          <w:i w:val="0"/>
          <w:color w:val="1A1A2E"/>
          <w:sz w:val="52"/>
        </w:rPr>
        <w:t>Executive Summary</w:t>
      </w:r>
    </w:p>
    <w:p>
      <w:pPr>
        <w:spacing w:after="80"/>
        <w:jc w:val="center"/>
      </w:pPr>
      <w:r>
        <w:rPr>
          <w:rFonts w:ascii="Open Sans" w:hAnsi="Open Sans"/>
          <w:b w:val="0"/>
          <w:i w:val="0"/>
          <w:color w:val="59595B"/>
          <w:sz w:val="28"/>
        </w:rPr>
        <w:t>Server Migration &amp; Managed Cloud Hosting</w:t>
      </w:r>
    </w:p>
    <w:p>
      <w:pPr>
        <w:spacing w:after="40"/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 xml:space="preserve">Prepared for </w:t>
      </w:r>
      <w:r>
        <w:rPr>
          <w:rFonts w:ascii="Open Sans" w:hAnsi="Open Sans"/>
          <w:b/>
          <w:i w:val="0"/>
          <w:color w:val="006DB6"/>
          <w:sz w:val="24"/>
        </w:rPr>
        <w:t>Oaktree Law</w:t>
      </w:r>
    </w:p>
    <w:p>
      <w:pPr>
        <w:spacing w:after="0"/>
        <w:jc w:val="center"/>
      </w:pPr>
      <w:r>
        <w:rPr>
          <w:rFonts w:ascii="Open Sans" w:hAnsi="Open Sans"/>
          <w:b w:val="0"/>
          <w:i w:val="0"/>
          <w:color w:val="59595B"/>
          <w:sz w:val="22"/>
        </w:rPr>
        <w:t>March 2026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F67D4B" w:val="clear"/>
          </w:tcPr>
          <w:p>
            <w:pPr>
              <w:spacing w:before="0" w:after="0"/>
              <w:spacing w:before="0" w:after="0" w:line="120"/>
            </w:pPr>
            <w:r/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6"/>
        </w:rPr>
        <w:t>CONFIDENTIAL — For authorized use only</w:t>
      </w:r>
    </w:p>
    <w:p>
      <w:pPr>
        <w:spacing w:before="160"/>
        <w:jc w:val="center"/>
      </w:pPr>
      <w:r>
        <w:rPr>
          <w:rFonts w:ascii="Open Sans" w:hAnsi="Open Sans"/>
          <w:b w:val="0"/>
          <w:i w:val="0"/>
          <w:color w:val="59595B"/>
          <w:sz w:val="16"/>
        </w:rPr>
        <w:t>Technijian  |  18 Technology Dr., Ste 141, Irvine, CA 92618  |  949.379.8499  |  technijian.com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>Overview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0"/>
        </w:rPr>
        <w:t>Technijian proposes migrating Oaktree Law’s aging physical server to a fully managed cloud environment hosted in Technijian’s private datacenter. The project includes server virtualization, migration of 779 GB of shared data to Microsoft OneDrive/SharePoint, deployment of Cloudbrink Zero Trust Network Access (ZTNA) for secure remote connectivity, and installation of enterprise security agents across all systems.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0"/>
        </w:rPr>
        <w:t>Upon completion, Oaktree Law will have a modern, secure, and fully managed IT infrastructure with predictable monthly costs, enterprise-grade backup, and 24/7 monitoring — eliminating the risk and maintenance burden of on-premises hardware.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>What’s Included</w:t>
            </w:r>
          </w:p>
        </w:tc>
      </w:tr>
    </w:tbl>
    <w:p>
      <w:pPr>
        <w:pStyle w:val="ListBullet"/>
        <w:spacing w:after="40"/>
      </w:pPr>
      <w:r>
        <w:rPr>
          <w:rFonts w:ascii="Open Sans" w:hAnsi="Open Sans"/>
          <w:b/>
          <w:i w:val="0"/>
          <w:color w:val="1A1A2E"/>
          <w:sz w:val="20"/>
        </w:rPr>
        <w:t xml:space="preserve">Cloud-Hosted Servers: </w:t>
      </w:r>
      <w:r>
        <w:rPr>
          <w:rFonts w:ascii="Open Sans" w:hAnsi="Open Sans"/>
          <w:b w:val="0"/>
          <w:i w:val="0"/>
          <w:color w:val="59595B"/>
          <w:sz w:val="20"/>
        </w:rPr>
        <w:t>2 virtual machines in Technijian’s private datacenter replacing your physical server</w:t>
      </w:r>
    </w:p>
    <w:p>
      <w:pPr>
        <w:pStyle w:val="ListBullet"/>
        <w:spacing w:after="40"/>
      </w:pPr>
      <w:r>
        <w:rPr>
          <w:rFonts w:ascii="Open Sans" w:hAnsi="Open Sans"/>
          <w:b/>
          <w:i w:val="0"/>
          <w:color w:val="1A1A2E"/>
          <w:sz w:val="20"/>
        </w:rPr>
        <w:t xml:space="preserve">Data Migration: </w:t>
      </w:r>
      <w:r>
        <w:rPr>
          <w:rFonts w:ascii="Open Sans" w:hAnsi="Open Sans"/>
          <w:b w:val="0"/>
          <w:i w:val="0"/>
          <w:color w:val="59595B"/>
          <w:sz w:val="20"/>
        </w:rPr>
        <w:t>779 GB of shared folders migrated to OneDrive/SharePoint with full permission mapping</w:t>
      </w:r>
    </w:p>
    <w:p>
      <w:pPr>
        <w:pStyle w:val="ListBullet"/>
        <w:spacing w:after="40"/>
      </w:pPr>
      <w:r>
        <w:rPr>
          <w:rFonts w:ascii="Open Sans" w:hAnsi="Open Sans"/>
          <w:b/>
          <w:i w:val="0"/>
          <w:color w:val="1A1A2E"/>
          <w:sz w:val="20"/>
        </w:rPr>
        <w:t xml:space="preserve">Zero Trust Access: </w:t>
      </w:r>
      <w:r>
        <w:rPr>
          <w:rFonts w:ascii="Open Sans" w:hAnsi="Open Sans"/>
          <w:b w:val="0"/>
          <w:i w:val="0"/>
          <w:color w:val="59595B"/>
          <w:sz w:val="20"/>
        </w:rPr>
        <w:t>Cloudbrink ZTNA for secure access from anywhere — no VPN needed</w:t>
      </w:r>
    </w:p>
    <w:p>
      <w:pPr>
        <w:pStyle w:val="ListBullet"/>
        <w:spacing w:after="40"/>
      </w:pPr>
      <w:r>
        <w:rPr>
          <w:rFonts w:ascii="Open Sans" w:hAnsi="Open Sans"/>
          <w:b/>
          <w:i w:val="0"/>
          <w:color w:val="1A1A2E"/>
          <w:sz w:val="20"/>
        </w:rPr>
        <w:t xml:space="preserve">Enterprise Security: </w:t>
      </w:r>
      <w:r>
        <w:rPr>
          <w:rFonts w:ascii="Open Sans" w:hAnsi="Open Sans"/>
          <w:b w:val="0"/>
          <w:i w:val="0"/>
          <w:color w:val="59595B"/>
          <w:sz w:val="20"/>
        </w:rPr>
        <w:t>CrowdStrike endpoint protection, Huntress threat hunting, automated patch management</w:t>
      </w:r>
    </w:p>
    <w:p>
      <w:pPr>
        <w:pStyle w:val="ListBullet"/>
        <w:spacing w:after="40"/>
      </w:pPr>
      <w:r>
        <w:rPr>
          <w:rFonts w:ascii="Open Sans" w:hAnsi="Open Sans"/>
          <w:b/>
          <w:i w:val="0"/>
          <w:color w:val="1A1A2E"/>
          <w:sz w:val="20"/>
        </w:rPr>
        <w:t xml:space="preserve">Managed Backup: </w:t>
      </w:r>
      <w:r>
        <w:rPr>
          <w:rFonts w:ascii="Open Sans" w:hAnsi="Open Sans"/>
          <w:b w:val="0"/>
          <w:i w:val="0"/>
          <w:color w:val="59595B"/>
          <w:sz w:val="20"/>
        </w:rPr>
        <w:t>Veeam image-level backup of both VMs with daily snapshots and rapid recovery</w:t>
      </w:r>
    </w:p>
    <w:p>
      <w:pPr>
        <w:pStyle w:val="ListBullet"/>
        <w:spacing w:after="40"/>
      </w:pPr>
      <w:r>
        <w:rPr>
          <w:rFonts w:ascii="Open Sans" w:hAnsi="Open Sans"/>
          <w:b/>
          <w:i w:val="0"/>
          <w:color w:val="1A1A2E"/>
          <w:sz w:val="20"/>
        </w:rPr>
        <w:t xml:space="preserve">30-Day Post-Migration Support: </w:t>
      </w:r>
      <w:r>
        <w:rPr>
          <w:rFonts w:ascii="Open Sans" w:hAnsi="Open Sans"/>
          <w:b w:val="0"/>
          <w:i w:val="0"/>
          <w:color w:val="59595B"/>
          <w:sz w:val="20"/>
        </w:rPr>
        <w:t>Dedicated support for issue resolution and user assistance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>Project Timeline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3120"/>
        <w:gridCol w:w="3120"/>
        <w:gridCol w:w="3120"/>
      </w:tblGrid>
      <w:tr>
        <w:tc>
          <w:tcPr>
            <w:tcW w:type="dxa" w:w="864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576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016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1</w:t>
            </w:r>
          </w:p>
        </w:tc>
        <w:tc>
          <w:tcPr>
            <w:tcW w:type="dxa" w:w="57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Discovery &amp; Assessment</w:t>
            </w:r>
          </w:p>
        </w:tc>
        <w:tc>
          <w:tcPr>
            <w:tcW w:type="dxa" w:w="2016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Week 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2</w:t>
            </w:r>
          </w:p>
        </w:tc>
        <w:tc>
          <w:tcPr>
            <w:tcW w:type="dxa" w:w="57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Cloud Environment Provisioning</w:t>
            </w:r>
          </w:p>
        </w:tc>
        <w:tc>
          <w:tcPr>
            <w:tcW w:type="dxa" w:w="2016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Weeks 1–2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3</w:t>
            </w:r>
          </w:p>
        </w:tc>
        <w:tc>
          <w:tcPr>
            <w:tcW w:type="dxa" w:w="57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Physical-to-Virtual Server Migration</w:t>
            </w:r>
          </w:p>
        </w:tc>
        <w:tc>
          <w:tcPr>
            <w:tcW w:type="dxa" w:w="2016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Weeks 2–3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4</w:t>
            </w:r>
          </w:p>
        </w:tc>
        <w:tc>
          <w:tcPr>
            <w:tcW w:type="dxa" w:w="57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OneDrive / SharePoint Data Migration</w:t>
            </w:r>
          </w:p>
        </w:tc>
        <w:tc>
          <w:tcPr>
            <w:tcW w:type="dxa" w:w="2016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Weeks 3–5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5</w:t>
            </w:r>
          </w:p>
        </w:tc>
        <w:tc>
          <w:tcPr>
            <w:tcW w:type="dxa" w:w="57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Cloudbrink ZTNA Deployment</w:t>
            </w:r>
          </w:p>
        </w:tc>
        <w:tc>
          <w:tcPr>
            <w:tcW w:type="dxa" w:w="2016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Weeks 5–6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6</w:t>
            </w:r>
          </w:p>
        </w:tc>
        <w:tc>
          <w:tcPr>
            <w:tcW w:type="dxa" w:w="57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Security Agent Deployment</w:t>
            </w:r>
          </w:p>
        </w:tc>
        <w:tc>
          <w:tcPr>
            <w:tcW w:type="dxa" w:w="2016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Week 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7</w:t>
            </w:r>
          </w:p>
        </w:tc>
        <w:tc>
          <w:tcPr>
            <w:tcW w:type="dxa" w:w="57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Testing, Validation &amp; Go-Live</w:t>
            </w:r>
          </w:p>
        </w:tc>
        <w:tc>
          <w:tcPr>
            <w:tcW w:type="dxa" w:w="2016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Weeks 6–7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8</w:t>
            </w:r>
          </w:p>
        </w:tc>
        <w:tc>
          <w:tcPr>
            <w:tcW w:type="dxa" w:w="57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Post-Migration Support (30 Days)</w:t>
            </w:r>
          </w:p>
        </w:tc>
        <w:tc>
          <w:tcPr>
            <w:tcW w:type="dxa" w:w="2016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Weeks 7–11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>One-Time Migration Cost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1728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Rate</w:t>
            </w:r>
          </w:p>
        </w:tc>
        <w:tc>
          <w:tcPr>
            <w:tcW w:type="dxa" w:w="1728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Hours</w:t>
            </w:r>
          </w:p>
        </w:tc>
        <w:tc>
          <w:tcPr>
            <w:tcW w:type="dxa" w:w="1584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CTO Advisory (US)</w:t>
            </w:r>
          </w:p>
        </w:tc>
        <w:tc>
          <w:tcPr>
            <w:tcW w:type="dxa" w:w="1728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$250/hr</w:t>
            </w:r>
          </w:p>
        </w:tc>
        <w:tc>
          <w:tcPr>
            <w:tcW w:type="dxa" w:w="1728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8</w:t>
            </w:r>
          </w:p>
        </w:tc>
        <w:tc>
          <w:tcPr>
            <w:tcW w:type="dxa" w:w="1584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$2,000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Tech Support (US)</w:t>
            </w:r>
          </w:p>
        </w:tc>
        <w:tc>
          <w:tcPr>
            <w:tcW w:type="dxa" w:w="1728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$150/hr</w:t>
            </w:r>
          </w:p>
        </w:tc>
        <w:tc>
          <w:tcPr>
            <w:tcW w:type="dxa" w:w="1728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46</w:t>
            </w:r>
          </w:p>
        </w:tc>
        <w:tc>
          <w:tcPr>
            <w:tcW w:type="dxa" w:w="1584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$6,900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Tech Support (Offshore)</w:t>
            </w:r>
          </w:p>
        </w:tc>
        <w:tc>
          <w:tcPr>
            <w:tcW w:type="dxa" w:w="1728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$45/hr</w:t>
            </w:r>
          </w:p>
        </w:tc>
        <w:tc>
          <w:tcPr>
            <w:tcW w:type="dxa" w:w="1728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30</w:t>
            </w:r>
          </w:p>
        </w:tc>
        <w:tc>
          <w:tcPr>
            <w:tcW w:type="dxa" w:w="1584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$1,350</w:t>
            </w:r>
          </w:p>
        </w:tc>
      </w:tr>
      <w:tr>
        <w:tc>
          <w:tcPr>
            <w:tcW w:type="dxa" w:w="3600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TOTAL</w:t>
            </w:r>
          </w:p>
        </w:tc>
        <w:tc>
          <w:tcPr>
            <w:tcW w:type="dxa" w:w="1728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</w:r>
          </w:p>
        </w:tc>
        <w:tc>
          <w:tcPr>
            <w:tcW w:type="dxa" w:w="1728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84 hours</w:t>
            </w:r>
          </w:p>
        </w:tc>
        <w:tc>
          <w:tcPr>
            <w:tcW w:type="dxa" w:w="1584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$10,250</w:t>
            </w:r>
          </w:p>
        </w:tc>
      </w:tr>
    </w:tbl>
    <w:p>
      <w:pPr>
        <w:spacing w:before="160"/>
      </w:pPr>
      <w:r>
        <w:rPr>
          <w:rFonts w:ascii="Open Sans" w:hAnsi="Open Sans"/>
          <w:b/>
          <w:i w:val="0"/>
          <w:color w:val="1A1A2E"/>
          <w:sz w:val="20"/>
        </w:rPr>
        <w:t xml:space="preserve">Payment Schedule: </w:t>
      </w:r>
      <w:r>
        <w:rPr>
          <w:rFonts w:ascii="Open Sans" w:hAnsi="Open Sans"/>
          <w:b w:val="0"/>
          <w:i w:val="0"/>
          <w:color w:val="59595B"/>
          <w:sz w:val="20"/>
        </w:rPr>
        <w:t>50% at project kickoff ($5,125)  +  50% at go-live ($5,125)</w:t>
      </w:r>
    </w:p>
    <w:p>
      <w:r>
        <w:rPr>
          <w:rFonts w:ascii="Open Sans" w:hAnsi="Open Sans"/>
          <w:b/>
          <w:i w:val="0"/>
          <w:color w:val="1A1A2E"/>
          <w:sz w:val="20"/>
        </w:rPr>
        <w:t xml:space="preserve">Pricing Type: </w:t>
      </w:r>
      <w:r>
        <w:rPr>
          <w:rFonts w:ascii="Open Sans" w:hAnsi="Open Sans"/>
          <w:b w:val="0"/>
          <w:i w:val="0"/>
          <w:color w:val="59595B"/>
          <w:sz w:val="20"/>
        </w:rPr>
        <w:t>Estimate — actual time billed at applicable rate. If hours exceed estimate by &gt;10%, Technijian will notify before proceeding.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>Ongoing Monthly Services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4608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Services Included</w:t>
            </w:r>
          </w:p>
        </w:tc>
        <w:tc>
          <w:tcPr>
            <w:tcW w:type="dxa" w:w="14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Monthly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Cloud Infrastructure</w:t>
            </w:r>
          </w:p>
        </w:tc>
        <w:tc>
          <w:tcPr>
            <w:tcW w:type="dxa" w:w="4608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2 VMs (vCores, Memory, Shared BW) + 1 TB Prod + 1 TB Backup Storage</w:t>
            </w:r>
          </w:p>
        </w:tc>
        <w:tc>
          <w:tcPr>
            <w:tcW w:type="dxa" w:w="14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$330.10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Microsoft Licensing</w:t>
            </w:r>
          </w:p>
        </w:tc>
        <w:tc>
          <w:tcPr>
            <w:tcW w:type="dxa" w:w="4608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Windows Server Std — 4x 2-Core Packs</w:t>
            </w:r>
          </w:p>
        </w:tc>
        <w:tc>
          <w:tcPr>
            <w:tcW w:type="dxa" w:w="14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$21.00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Security &amp; Monitoring</w:t>
            </w:r>
          </w:p>
        </w:tc>
        <w:tc>
          <w:tcPr>
            <w:tcW w:type="dxa" w:w="4608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CrowdStrike (2), Huntress (2), Patch Mgmt (2), My Remote (2)</w:t>
            </w:r>
          </w:p>
        </w:tc>
        <w:tc>
          <w:tcPr>
            <w:tcW w:type="dxa" w:w="14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$45.00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Backup &amp; Recovery</w:t>
            </w:r>
          </w:p>
        </w:tc>
        <w:tc>
          <w:tcPr>
            <w:tcW w:type="dxa" w:w="4608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Veeam Image Backup (2 VMs)</w:t>
            </w:r>
          </w:p>
        </w:tc>
        <w:tc>
          <w:tcPr>
            <w:tcW w:type="dxa" w:w="14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$30.00</w:t>
            </w:r>
          </w:p>
        </w:tc>
      </w:tr>
      <w:tr>
        <w:tc>
          <w:tcPr>
            <w:tcW w:type="dxa" w:w="2592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TOTAL MONTHLY</w:t>
            </w:r>
          </w:p>
        </w:tc>
        <w:tc>
          <w:tcPr>
            <w:tcW w:type="dxa" w:w="4608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</w:r>
          </w:p>
        </w:tc>
        <w:tc>
          <w:tcPr>
            <w:tcW w:type="dxa" w:w="1440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$426.10</w:t>
            </w:r>
          </w:p>
        </w:tc>
      </w:tr>
      <w:tr>
        <w:tc>
          <w:tcPr>
            <w:tcW w:type="dxa" w:w="2592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TOTAL ANNUAL</w:t>
            </w:r>
          </w:p>
        </w:tc>
        <w:tc>
          <w:tcPr>
            <w:tcW w:type="dxa" w:w="4608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</w:r>
          </w:p>
        </w:tc>
        <w:tc>
          <w:tcPr>
            <w:tcW w:type="dxa" w:w="1440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$5,113.20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>Cost Comparison: Technijian vs. Azure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216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Technijian</w:t>
            </w:r>
          </w:p>
        </w:tc>
        <w:tc>
          <w:tcPr>
            <w:tcW w:type="dxa" w:w="216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Azure</w:t>
            </w:r>
          </w:p>
        </w:tc>
        <w:tc>
          <w:tcPr>
            <w:tcW w:type="dxa" w:w="2592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Savings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Monthly</w:t>
            </w:r>
          </w:p>
        </w:tc>
        <w:tc>
          <w:tcPr>
            <w:tcW w:type="dxa" w:w="21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$426.10</w:t>
            </w:r>
          </w:p>
        </w:tc>
        <w:tc>
          <w:tcPr>
            <w:tcW w:type="dxa" w:w="21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$598.00</w:t>
            </w:r>
          </w:p>
        </w:tc>
        <w:tc>
          <w:tcPr>
            <w:tcW w:type="dxa" w:w="2592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$171.90 (28.7%)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Annual</w:t>
            </w:r>
          </w:p>
        </w:tc>
        <w:tc>
          <w:tcPr>
            <w:tcW w:type="dxa" w:w="21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$5,113.20</w:t>
            </w:r>
          </w:p>
        </w:tc>
        <w:tc>
          <w:tcPr>
            <w:tcW w:type="dxa" w:w="21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$7,176.00</w:t>
            </w:r>
          </w:p>
        </w:tc>
        <w:tc>
          <w:tcPr>
            <w:tcW w:type="dxa" w:w="2592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$2,062.80 (28.7%)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3-Year</w:t>
            </w:r>
          </w:p>
        </w:tc>
        <w:tc>
          <w:tcPr>
            <w:tcW w:type="dxa" w:w="21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$15,339.60</w:t>
            </w:r>
          </w:p>
        </w:tc>
        <w:tc>
          <w:tcPr>
            <w:tcW w:type="dxa" w:w="21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$21,528.00</w:t>
            </w:r>
          </w:p>
        </w:tc>
        <w:tc>
          <w:tcPr>
            <w:tcW w:type="dxa" w:w="2592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$6,188.40 (28.7%)</w:t>
            </w:r>
          </w:p>
        </w:tc>
      </w:tr>
    </w:tbl>
    <w:p>
      <w:pPr>
        <w:spacing w:before="160"/>
      </w:pPr>
      <w:r>
        <w:rPr>
          <w:rFonts w:ascii="Open Sans" w:hAnsi="Open Sans"/>
          <w:b/>
          <w:i w:val="0"/>
          <w:color w:val="1A1A2E"/>
          <w:sz w:val="20"/>
        </w:rPr>
        <w:t>Technijian Datacenter Advantages: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Predictable, fixed monthly billing — no surprise Azure consumption charges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No egress or bandwidth charges — shared bandwidth included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Single vendor for hosting, security, backup, and support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Enterprise-grade Veeam backup with faster recovery than Azure Backup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Local Technijian support team manages infrastructure end-to-end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>Total Investment Summary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4680"/>
        <w:gridCol w:w="4680"/>
      </w:tblGrid>
      <w:tr>
        <w:tc>
          <w:tcPr>
            <w:tcW w:type="dxa" w:w="576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One-Time Migration (84 hours)</w:t>
            </w:r>
          </w:p>
        </w:tc>
        <w:tc>
          <w:tcPr>
            <w:tcW w:type="dxa" w:w="28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$10,250.00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Monthly Managed Services</w:t>
            </w:r>
          </w:p>
        </w:tc>
        <w:tc>
          <w:tcPr>
            <w:tcW w:type="dxa" w:w="28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$426.10/month</w:t>
            </w:r>
          </w:p>
        </w:tc>
      </w:tr>
      <w:tr>
        <w:tc>
          <w:tcPr>
            <w:tcW w:type="dxa" w:w="5760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Year 1 Total (migration + 12 months hosting)</w:t>
            </w:r>
          </w:p>
        </w:tc>
        <w:tc>
          <w:tcPr>
            <w:tcW w:type="dxa" w:w="2880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$15,363.20</w:t>
            </w:r>
          </w:p>
        </w:tc>
      </w:tr>
      <w:tr>
        <w:tc>
          <w:tcPr>
            <w:tcW w:type="dxa" w:w="576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Year 2+ Annual Cost (hosting only)</w:t>
            </w:r>
          </w:p>
        </w:tc>
        <w:tc>
          <w:tcPr>
            <w:tcW w:type="dxa" w:w="28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$5,113.20/year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>Agreement Structure</w:t>
            </w:r>
          </w:p>
        </w:tc>
      </w:tr>
    </w:tbl>
    <w:p>
      <w:pPr>
        <w:pStyle w:val="ListBullet"/>
        <w:spacing w:after="40"/>
      </w:pPr>
      <w:r>
        <w:rPr>
          <w:rFonts w:ascii="Open Sans" w:hAnsi="Open Sans"/>
          <w:b/>
          <w:i w:val="0"/>
          <w:color w:val="1A1A2E"/>
          <w:sz w:val="20"/>
        </w:rPr>
        <w:t xml:space="preserve">Master Service Agreement (MSA): </w:t>
      </w:r>
      <w:r>
        <w:rPr>
          <w:rFonts w:ascii="Open Sans" w:hAnsi="Open Sans"/>
          <w:b w:val="0"/>
          <w:i w:val="0"/>
          <w:color w:val="59595B"/>
          <w:sz w:val="20"/>
        </w:rPr>
        <w:t>Governs the overall relationship, payment terms, confidentiality, liability, and dispute resolution for a 12-month initial term with automatic annual renewal.</w:t>
      </w:r>
    </w:p>
    <w:p>
      <w:pPr>
        <w:pStyle w:val="ListBullet"/>
        <w:spacing w:after="40"/>
      </w:pPr>
      <w:r>
        <w:rPr>
          <w:rFonts w:ascii="Open Sans" w:hAnsi="Open Sans"/>
          <w:b/>
          <w:i w:val="0"/>
          <w:color w:val="1A1A2E"/>
          <w:sz w:val="20"/>
        </w:rPr>
        <w:t xml:space="preserve">SOW-001 — Server Migration: </w:t>
      </w:r>
      <w:r>
        <w:rPr>
          <w:rFonts w:ascii="Open Sans" w:hAnsi="Open Sans"/>
          <w:b w:val="0"/>
          <w:i w:val="0"/>
          <w:color w:val="59595B"/>
          <w:sz w:val="20"/>
        </w:rPr>
        <w:t>Defines the 8-phase migration project scope, deliverables, timeline, and one-time pricing. Governed by the MSA.</w:t>
      </w:r>
    </w:p>
    <w:p>
      <w:pPr>
        <w:pStyle w:val="ListBullet"/>
        <w:spacing w:after="40"/>
      </w:pPr>
      <w:r>
        <w:rPr>
          <w:rFonts w:ascii="Open Sans" w:hAnsi="Open Sans"/>
          <w:b/>
          <w:i w:val="0"/>
          <w:color w:val="1A1A2E"/>
          <w:sz w:val="20"/>
        </w:rPr>
        <w:t xml:space="preserve">Schedule A — Monthly Services: </w:t>
      </w:r>
      <w:r>
        <w:rPr>
          <w:rFonts w:ascii="Open Sans" w:hAnsi="Open Sans"/>
          <w:b w:val="0"/>
          <w:i w:val="0"/>
          <w:color w:val="59595B"/>
          <w:sz w:val="20"/>
        </w:rPr>
        <w:t>Details the ongoing managed hosting, security, and monitoring services with SLA commitments.</w:t>
      </w:r>
    </w:p>
    <w:p>
      <w:pPr>
        <w:pStyle w:val="ListBullet"/>
        <w:spacing w:after="40"/>
      </w:pPr>
      <w:r>
        <w:rPr>
          <w:rFonts w:ascii="Open Sans" w:hAnsi="Open Sans"/>
          <w:b/>
          <w:i w:val="0"/>
          <w:color w:val="1A1A2E"/>
          <w:sz w:val="20"/>
        </w:rPr>
        <w:t xml:space="preserve">Schedule C — Rate Card: </w:t>
      </w:r>
      <w:r>
        <w:rPr>
          <w:rFonts w:ascii="Open Sans" w:hAnsi="Open Sans"/>
          <w:b w:val="0"/>
          <w:i w:val="0"/>
          <w:color w:val="59595B"/>
          <w:sz w:val="20"/>
        </w:rPr>
        <w:t>Establishes hourly rates for any additional work or change orders.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>Next Steps</w:t>
            </w:r>
          </w:p>
        </w:tc>
      </w:tr>
    </w:tbl>
    <w:p>
      <w:pPr>
        <w:spacing w:after="40"/>
      </w:pPr>
      <w:r>
        <w:rPr>
          <w:rFonts w:ascii="Open Sans" w:hAnsi="Open Sans"/>
          <w:b/>
          <w:i w:val="0"/>
          <w:color w:val="006DB6"/>
          <w:sz w:val="20"/>
        </w:rPr>
        <w:t xml:space="preserve">1. </w:t>
      </w:r>
      <w:r>
        <w:rPr>
          <w:rFonts w:ascii="Open Sans" w:hAnsi="Open Sans"/>
          <w:b w:val="0"/>
          <w:i w:val="0"/>
          <w:color w:val="59595B"/>
          <w:sz w:val="20"/>
        </w:rPr>
        <w:t>Review this summary and the attached agreements</w:t>
      </w:r>
    </w:p>
    <w:p>
      <w:pPr>
        <w:spacing w:after="40"/>
      </w:pPr>
      <w:r>
        <w:rPr>
          <w:rFonts w:ascii="Open Sans" w:hAnsi="Open Sans"/>
          <w:b/>
          <w:i w:val="0"/>
          <w:color w:val="006DB6"/>
          <w:sz w:val="20"/>
        </w:rPr>
        <w:t xml:space="preserve">2. </w:t>
      </w:r>
      <w:r>
        <w:rPr>
          <w:rFonts w:ascii="Open Sans" w:hAnsi="Open Sans"/>
          <w:b w:val="0"/>
          <w:i w:val="0"/>
          <w:color w:val="59595B"/>
          <w:sz w:val="20"/>
        </w:rPr>
        <w:t>Confirm client address and any questions with Ed Pits</w:t>
      </w:r>
    </w:p>
    <w:p>
      <w:pPr>
        <w:spacing w:after="40"/>
      </w:pPr>
      <w:r>
        <w:rPr>
          <w:rFonts w:ascii="Open Sans" w:hAnsi="Open Sans"/>
          <w:b/>
          <w:i w:val="0"/>
          <w:color w:val="006DB6"/>
          <w:sz w:val="20"/>
        </w:rPr>
        <w:t xml:space="preserve">3. </w:t>
      </w:r>
      <w:r>
        <w:rPr>
          <w:rFonts w:ascii="Open Sans" w:hAnsi="Open Sans"/>
          <w:b w:val="0"/>
          <w:i w:val="0"/>
          <w:color w:val="59595B"/>
          <w:sz w:val="20"/>
        </w:rPr>
        <w:t>Sign the MSA, Schedule A, Schedule C, and SOW-001</w:t>
      </w:r>
    </w:p>
    <w:p>
      <w:pPr>
        <w:spacing w:after="40"/>
      </w:pPr>
      <w:r>
        <w:rPr>
          <w:rFonts w:ascii="Open Sans" w:hAnsi="Open Sans"/>
          <w:b/>
          <w:i w:val="0"/>
          <w:color w:val="006DB6"/>
          <w:sz w:val="20"/>
        </w:rPr>
        <w:t xml:space="preserve">4. </w:t>
      </w:r>
      <w:r>
        <w:rPr>
          <w:rFonts w:ascii="Open Sans" w:hAnsi="Open Sans"/>
          <w:b w:val="0"/>
          <w:i w:val="0"/>
          <w:color w:val="59595B"/>
          <w:sz w:val="20"/>
        </w:rPr>
        <w:t>Technijian begins Phase 1 Discovery within 5 business days of execution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06DB6" w:val="clear"/>
          </w:tcPr>
          <w:p>
            <w:pPr>
              <w:spacing w:before="0" w:after="0"/>
              <w:spacing w:before="0" w:after="0" w:line="40"/>
            </w:pPr>
            <w:r/>
          </w:p>
        </w:tc>
      </w:tr>
    </w:tbl>
    <w:p>
      <w:pPr>
        <w:spacing w:before="120"/>
        <w:jc w:val="center"/>
      </w:pPr>
      <w:r>
        <w:rPr>
          <w:rFonts w:ascii="Open Sans" w:hAnsi="Open Sans"/>
          <w:b w:val="0"/>
          <w:i w:val="0"/>
          <w:color w:val="59595B"/>
          <w:sz w:val="16"/>
        </w:rPr>
        <w:t>Technijian, Inc.  |  18 Technology Dr., Ste 141, Irvine, CA 92618  |  949.379.8499  |  technijian.com</w:t>
      </w:r>
    </w:p>
    <w:p>
      <w:pPr>
        <w:jc w:val="center"/>
      </w:pPr>
      <w:r>
        <w:rPr>
          <w:rFonts w:ascii="Open Sans" w:hAnsi="Open Sans"/>
          <w:b w:val="0"/>
          <w:i/>
          <w:color w:val="59595B"/>
          <w:sz w:val="16"/>
        </w:rPr>
        <w:t>CONFIDENTIAL — Prepared exclusively for Oaktree Law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