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Schedule A</w:t>
      </w:r>
    </w:p>
    <w:p>
      <w:pPr>
        <w:jc w:val="center"/>
      </w:pPr>
      <w:r>
        <w:rPr>
          <w:rFonts w:ascii="Open Sans" w:hAnsi="Open Sans"/>
          <w:b w:val="0"/>
          <w:i w:val="0"/>
          <w:color w:val="59595B"/>
          <w:sz w:val="26"/>
        </w:rPr>
        <w:t>Monthly Managed Services</w:t>
      </w:r>
    </w:p>
    <w:p>
      <w:pPr>
        <w:jc w:val="center"/>
      </w:pPr>
      <w:r>
        <w:rPr>
          <w:rFonts w:ascii="Open Sans" w:hAnsi="Open Sans"/>
          <w:b/>
          <w:i w:val="0"/>
          <w:color w:val="006DB6"/>
          <w:sz w:val="24"/>
        </w:rPr>
        <w:t>Oaktree Law</w:t>
      </w:r>
    </w:p>
    <w:p>
      <w:pPr>
        <w:jc w:val="center"/>
      </w:pPr>
      <w:r>
        <w:rPr>
          <w:rFonts w:ascii="Open Sans" w:hAnsi="Open Sans"/>
          <w:b w:val="0"/>
          <w:i w:val="0"/>
          <w:color w:val="59595B"/>
          <w:sz w:val="20"/>
        </w:rPr>
        <w:t>March 23,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SCHEDULE A — MONTHLY MANAGED SERVICES</w:t>
            </w:r>
          </w:p>
        </w:tc>
      </w:tr>
    </w:tbl>
    <w:p>
      <w:pPr>
        <w:spacing w:after="120"/>
      </w:pPr>
      <w:r>
        <w:rPr>
          <w:rFonts w:ascii="Open Sans" w:hAnsi="Open Sans"/>
          <w:b w:val="0"/>
          <w:i w:val="0"/>
          <w:color w:val="59595B"/>
          <w:sz w:val="20"/>
        </w:rPr>
        <w:t>Attached to Master Service Agreement MSA-OKL-2026</w:t>
      </w:r>
    </w:p>
    <w:p>
      <w:pPr>
        <w:spacing w:after="120"/>
      </w:pPr>
      <w:r>
        <w:rPr>
          <w:rFonts w:ascii="Open Sans" w:hAnsi="Open Sans"/>
          <w:b w:val="0"/>
          <w:i w:val="0"/>
          <w:color w:val="59595B"/>
          <w:sz w:val="20"/>
        </w:rPr>
        <w:t>Effective Date: March 23, 2026</w:t>
      </w:r>
    </w:p>
    <w:p>
      <w:pPr>
        <w:spacing w:after="120"/>
      </w:pPr>
      <w:r>
        <w:rPr>
          <w:rFonts w:ascii="Open Sans" w:hAnsi="Open Sans"/>
          <w:b w:val="0"/>
          <w:i w:val="0"/>
          <w:color w:val="59595B"/>
          <w:sz w:val="20"/>
        </w:rPr>
        <w:t>This Schedule describes the Monthly Managed Services provided by Technijian, Inc. (“Technijian”) to Oaktree Law (“Client”) under the Master Service Agreement.</w:t>
      </w:r>
    </w:p>
    <w:p>
      <w:pPr>
        <w:spacing w:after="8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PART 1 — ONLINE SERVICES</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1.1 Description</w:t>
            </w:r>
          </w:p>
        </w:tc>
      </w:tr>
    </w:tbl>
    <w:p>
      <w:pPr>
        <w:spacing w:after="120"/>
      </w:pPr>
      <w:r>
        <w:rPr>
          <w:rFonts w:ascii="Open Sans" w:hAnsi="Open Sans"/>
          <w:b w:val="0"/>
          <w:i w:val="0"/>
          <w:color w:val="59595B"/>
          <w:sz w:val="20"/>
        </w:rPr>
        <w:t>Online Services include managed infrastructure, security, monitoring, and related IT services delivered on a recurring monthly basis. Services are selected from the Technijian Price List and itemized in the attached Service Order.</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1.2 Service Categories</w:t>
            </w:r>
          </w:p>
        </w:tc>
      </w:tr>
    </w:tbl>
    <w:p>
      <w:pPr>
        <w:spacing w:after="120"/>
      </w:pPr>
      <w:r>
        <w:rPr>
          <w:rFonts w:ascii="Open Sans" w:hAnsi="Open Sans"/>
          <w:b w:val="0"/>
          <w:i w:val="0"/>
          <w:color w:val="59595B"/>
          <w:sz w:val="20"/>
        </w:rPr>
        <w:t>Online Services are organized into the following categories. Specific services, quantities, and pricing are detailed in the Service Order attached to this Schedule.</w:t>
      </w: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4680"/>
        <w:gridCol w:w="4680"/>
      </w:tblGrid>
      <w:tr>
        <w:tc>
          <w:tcPr>
            <w:tcW w:type="dxa" w:w="4680"/>
            <w:shd w:fill="006DB6" w:val="clear"/>
          </w:tcPr>
          <w:p>
            <w:r/>
            <w:r>
              <w:rPr>
                <w:rFonts w:ascii="Open Sans" w:hAnsi="Open Sans"/>
                <w:b/>
                <w:i w:val="0"/>
                <w:color w:val="FFFFFF"/>
                <w:sz w:val="18"/>
              </w:rPr>
              <w:t>Category</w:t>
            </w:r>
          </w:p>
        </w:tc>
        <w:tc>
          <w:tcPr>
            <w:tcW w:type="dxa" w:w="4680"/>
            <w:shd w:fill="006DB6" w:val="clear"/>
          </w:tcPr>
          <w:p>
            <w:r/>
            <w:r>
              <w:rPr>
                <w:rFonts w:ascii="Open Sans" w:hAnsi="Open Sans"/>
                <w:b/>
                <w:i w:val="0"/>
                <w:color w:val="FFFFFF"/>
                <w:sz w:val="18"/>
              </w:rPr>
              <w:t>Description</w:t>
            </w:r>
          </w:p>
        </w:tc>
      </w:tr>
      <w:tr>
        <w:tc>
          <w:tcPr>
            <w:tcW w:type="dxa" w:w="4680"/>
          </w:tcPr>
          <w:p>
            <w:r/>
            <w:r>
              <w:rPr>
                <w:rFonts w:ascii="Open Sans" w:hAnsi="Open Sans"/>
                <w:b w:val="0"/>
                <w:i w:val="0"/>
                <w:color w:val="59595B"/>
                <w:sz w:val="18"/>
              </w:rPr>
              <w:t>Cloud Infrastructure</w:t>
            </w:r>
          </w:p>
        </w:tc>
        <w:tc>
          <w:tcPr>
            <w:tcW w:type="dxa" w:w="4680"/>
          </w:tcPr>
          <w:p>
            <w:r/>
            <w:r>
              <w:rPr>
                <w:rFonts w:ascii="Open Sans" w:hAnsi="Open Sans"/>
                <w:b w:val="0"/>
                <w:i w:val="0"/>
                <w:color w:val="59595B"/>
                <w:sz w:val="18"/>
              </w:rPr>
              <w:t>Virtual machines (vCores, memory, bandwidth), production/backup storage</w:t>
            </w:r>
          </w:p>
        </w:tc>
      </w:tr>
      <w:tr>
        <w:tc>
          <w:tcPr>
            <w:tcW w:type="dxa" w:w="4680"/>
          </w:tcPr>
          <w:p>
            <w:r/>
            <w:r>
              <w:rPr>
                <w:rFonts w:ascii="Open Sans" w:hAnsi="Open Sans"/>
                <w:b w:val="0"/>
                <w:i w:val="0"/>
                <w:color w:val="59595B"/>
                <w:sz w:val="18"/>
              </w:rPr>
              <w:t>Server Management</w:t>
            </w:r>
          </w:p>
        </w:tc>
        <w:tc>
          <w:tcPr>
            <w:tcW w:type="dxa" w:w="4680"/>
          </w:tcPr>
          <w:p>
            <w:r/>
            <w:r>
              <w:rPr>
                <w:rFonts w:ascii="Open Sans" w:hAnsi="Open Sans"/>
                <w:b w:val="0"/>
                <w:i w:val="0"/>
                <w:color w:val="59595B"/>
                <w:sz w:val="18"/>
              </w:rPr>
              <w:t>Patch management, image backup, antivirus (CrowdStrike, Huntress), remote access</w:t>
            </w:r>
          </w:p>
        </w:tc>
      </w:tr>
      <w:tr>
        <w:tc>
          <w:tcPr>
            <w:tcW w:type="dxa" w:w="4680"/>
          </w:tcPr>
          <w:p>
            <w:r/>
            <w:r>
              <w:rPr>
                <w:rFonts w:ascii="Open Sans" w:hAnsi="Open Sans"/>
                <w:b w:val="0"/>
                <w:i w:val="0"/>
                <w:color w:val="59595B"/>
                <w:sz w:val="18"/>
              </w:rPr>
              <w:t>Microsoft Licensing</w:t>
            </w:r>
          </w:p>
        </w:tc>
        <w:tc>
          <w:tcPr>
            <w:tcW w:type="dxa" w:w="4680"/>
          </w:tcPr>
          <w:p>
            <w:r/>
            <w:r>
              <w:rPr>
                <w:rFonts w:ascii="Open Sans" w:hAnsi="Open Sans"/>
                <w:b w:val="0"/>
                <w:i w:val="0"/>
                <w:color w:val="59595B"/>
                <w:sz w:val="18"/>
              </w:rPr>
              <w:t>Windows Server licensing (Std 2-Core packs)</w:t>
            </w:r>
          </w:p>
        </w:tc>
      </w:tr>
      <w:tr>
        <w:tc>
          <w:tcPr>
            <w:tcW w:type="dxa" w:w="4680"/>
          </w:tcPr>
          <w:p>
            <w:r/>
            <w:r>
              <w:rPr>
                <w:rFonts w:ascii="Open Sans" w:hAnsi="Open Sans"/>
                <w:b w:val="0"/>
                <w:i w:val="0"/>
                <w:color w:val="59595B"/>
                <w:sz w:val="18"/>
              </w:rPr>
              <w:t>Backup &amp; Recovery</w:t>
            </w:r>
          </w:p>
        </w:tc>
        <w:tc>
          <w:tcPr>
            <w:tcW w:type="dxa" w:w="4680"/>
          </w:tcPr>
          <w:p>
            <w:r/>
            <w:r>
              <w:rPr>
                <w:rFonts w:ascii="Open Sans" w:hAnsi="Open Sans"/>
                <w:b w:val="0"/>
                <w:i w:val="0"/>
                <w:color w:val="59595B"/>
                <w:sz w:val="18"/>
              </w:rPr>
              <w:t>Veeam image backup, backup storage</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1.3 Service Order</w:t>
            </w:r>
          </w:p>
        </w:tc>
      </w:tr>
    </w:tbl>
    <w:p>
      <w:pPr>
        <w:spacing w:after="120"/>
      </w:pPr>
      <w:r>
        <w:rPr>
          <w:rFonts w:ascii="Open Sans" w:hAnsi="Open Sans"/>
          <w:b w:val="0"/>
          <w:i w:val="0"/>
          <w:color w:val="59595B"/>
          <w:sz w:val="20"/>
        </w:rPr>
        <w:t>The specific services, quantities, and monthly pricing for Client are detailed below. The Service Order may be updated by mutual written agreement.</w:t>
      </w: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Qty</w:t>
            </w:r>
          </w:p>
        </w:tc>
        <w:tc>
          <w:tcPr>
            <w:tcW w:type="dxa" w:w="1872"/>
            <w:shd w:fill="006DB6" w:val="clear"/>
          </w:tcPr>
          <w:p>
            <w:r/>
            <w:r>
              <w:rPr>
                <w:rFonts w:ascii="Open Sans" w:hAnsi="Open Sans"/>
                <w:b/>
                <w:i w:val="0"/>
                <w:color w:val="FFFFFF"/>
                <w:sz w:val="18"/>
              </w:rPr>
              <w:t>Unit Price</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VM1 — vCores (Primary Server)</w:t>
            </w:r>
          </w:p>
        </w:tc>
        <w:tc>
          <w:tcPr>
            <w:tcW w:type="dxa" w:w="1872"/>
          </w:tcPr>
          <w:p>
            <w:r/>
            <w:r>
              <w:rPr>
                <w:rFonts w:ascii="Open Sans" w:hAnsi="Open Sans"/>
                <w:b w:val="0"/>
                <w:i w:val="0"/>
                <w:color w:val="59595B"/>
                <w:sz w:val="18"/>
              </w:rPr>
              <w:t>CL-VC</w:t>
            </w:r>
          </w:p>
        </w:tc>
        <w:tc>
          <w:tcPr>
            <w:tcW w:type="dxa" w:w="1872"/>
          </w:tcPr>
          <w:p>
            <w:r/>
            <w:r>
              <w:rPr>
                <w:rFonts w:ascii="Open Sans" w:hAnsi="Open Sans"/>
                <w:b w:val="0"/>
                <w:i w:val="0"/>
                <w:color w:val="59595B"/>
                <w:sz w:val="18"/>
              </w:rPr>
              <w:t>4</w:t>
            </w:r>
          </w:p>
        </w:tc>
        <w:tc>
          <w:tcPr>
            <w:tcW w:type="dxa" w:w="1872"/>
          </w:tcPr>
          <w:p>
            <w:r/>
            <w:r>
              <w:rPr>
                <w:rFonts w:ascii="Open Sans" w:hAnsi="Open Sans"/>
                <w:b w:val="0"/>
                <w:i w:val="0"/>
                <w:color w:val="59595B"/>
                <w:sz w:val="18"/>
              </w:rPr>
              <w:t>$6.25</w:t>
            </w:r>
          </w:p>
        </w:tc>
        <w:tc>
          <w:tcPr>
            <w:tcW w:type="dxa" w:w="1872"/>
          </w:tcPr>
          <w:p>
            <w:r/>
            <w:r>
              <w:rPr>
                <w:rFonts w:ascii="Open Sans" w:hAnsi="Open Sans"/>
                <w:b w:val="0"/>
                <w:i w:val="0"/>
                <w:color w:val="59595B"/>
                <w:sz w:val="18"/>
              </w:rPr>
              <w:t>$25.00</w:t>
            </w:r>
          </w:p>
        </w:tc>
      </w:tr>
      <w:tr>
        <w:tc>
          <w:tcPr>
            <w:tcW w:type="dxa" w:w="1872"/>
          </w:tcPr>
          <w:p>
            <w:r/>
            <w:r>
              <w:rPr>
                <w:rFonts w:ascii="Open Sans" w:hAnsi="Open Sans"/>
                <w:b w:val="0"/>
                <w:i w:val="0"/>
                <w:color w:val="59595B"/>
                <w:sz w:val="18"/>
              </w:rPr>
              <w:t>VM1 — Memory (GB)</w:t>
            </w:r>
          </w:p>
        </w:tc>
        <w:tc>
          <w:tcPr>
            <w:tcW w:type="dxa" w:w="1872"/>
          </w:tcPr>
          <w:p>
            <w:r/>
            <w:r>
              <w:rPr>
                <w:rFonts w:ascii="Open Sans" w:hAnsi="Open Sans"/>
                <w:b w:val="0"/>
                <w:i w:val="0"/>
                <w:color w:val="59595B"/>
                <w:sz w:val="18"/>
              </w:rPr>
              <w:t>CL-GB</w:t>
            </w:r>
          </w:p>
        </w:tc>
        <w:tc>
          <w:tcPr>
            <w:tcW w:type="dxa" w:w="1872"/>
          </w:tcPr>
          <w:p>
            <w:r/>
            <w:r>
              <w:rPr>
                <w:rFonts w:ascii="Open Sans" w:hAnsi="Open Sans"/>
                <w:b w:val="0"/>
                <w:i w:val="0"/>
                <w:color w:val="59595B"/>
                <w:sz w:val="18"/>
              </w:rPr>
              <w:t>16</w:t>
            </w:r>
          </w:p>
        </w:tc>
        <w:tc>
          <w:tcPr>
            <w:tcW w:type="dxa" w:w="1872"/>
          </w:tcPr>
          <w:p>
            <w:r/>
            <w:r>
              <w:rPr>
                <w:rFonts w:ascii="Open Sans" w:hAnsi="Open Sans"/>
                <w:b w:val="0"/>
                <w:i w:val="0"/>
                <w:color w:val="59595B"/>
                <w:sz w:val="18"/>
              </w:rPr>
              <w:t>$0.63</w:t>
            </w:r>
          </w:p>
        </w:tc>
        <w:tc>
          <w:tcPr>
            <w:tcW w:type="dxa" w:w="1872"/>
          </w:tcPr>
          <w:p>
            <w:r/>
            <w:r>
              <w:rPr>
                <w:rFonts w:ascii="Open Sans" w:hAnsi="Open Sans"/>
                <w:b w:val="0"/>
                <w:i w:val="0"/>
                <w:color w:val="59595B"/>
                <w:sz w:val="18"/>
              </w:rPr>
              <w:t>$10.08</w:t>
            </w:r>
          </w:p>
        </w:tc>
      </w:tr>
      <w:tr>
        <w:tc>
          <w:tcPr>
            <w:tcW w:type="dxa" w:w="1872"/>
          </w:tcPr>
          <w:p>
            <w:r/>
            <w:r>
              <w:rPr>
                <w:rFonts w:ascii="Open Sans" w:hAnsi="Open Sans"/>
                <w:b w:val="0"/>
                <w:i w:val="0"/>
                <w:color w:val="59595B"/>
                <w:sz w:val="18"/>
              </w:rPr>
              <w:t>VM1 — Shared Bandwidth</w:t>
            </w:r>
          </w:p>
        </w:tc>
        <w:tc>
          <w:tcPr>
            <w:tcW w:type="dxa" w:w="1872"/>
          </w:tcPr>
          <w:p>
            <w:r/>
            <w:r>
              <w:rPr>
                <w:rFonts w:ascii="Open Sans" w:hAnsi="Open Sans"/>
                <w:b w:val="0"/>
                <w:i w:val="0"/>
                <w:color w:val="59595B"/>
                <w:sz w:val="18"/>
              </w:rPr>
              <w:t>CL-SBW</w:t>
            </w:r>
          </w:p>
        </w:tc>
        <w:tc>
          <w:tcPr>
            <w:tcW w:type="dxa" w:w="1872"/>
          </w:tcPr>
          <w:p>
            <w:r/>
            <w:r>
              <w:rPr>
                <w:rFonts w:ascii="Open Sans" w:hAnsi="Open Sans"/>
                <w:b w:val="0"/>
                <w:i w:val="0"/>
                <w:color w:val="59595B"/>
                <w:sz w:val="18"/>
              </w:rPr>
              <w:t>1</w:t>
            </w:r>
          </w:p>
        </w:tc>
        <w:tc>
          <w:tcPr>
            <w:tcW w:type="dxa" w:w="1872"/>
          </w:tcPr>
          <w:p>
            <w:r/>
            <w:r>
              <w:rPr>
                <w:rFonts w:ascii="Open Sans" w:hAnsi="Open Sans"/>
                <w:b w:val="0"/>
                <w:i w:val="0"/>
                <w:color w:val="59595B"/>
                <w:sz w:val="18"/>
              </w:rPr>
              <w:t>$15.00</w:t>
            </w:r>
          </w:p>
        </w:tc>
        <w:tc>
          <w:tcPr>
            <w:tcW w:type="dxa" w:w="1872"/>
          </w:tcPr>
          <w:p>
            <w:r/>
            <w:r>
              <w:rPr>
                <w:rFonts w:ascii="Open Sans" w:hAnsi="Open Sans"/>
                <w:b w:val="0"/>
                <w:i w:val="0"/>
                <w:color w:val="59595B"/>
                <w:sz w:val="18"/>
              </w:rPr>
              <w:t>$15.00</w:t>
            </w:r>
          </w:p>
        </w:tc>
      </w:tr>
      <w:tr>
        <w:tc>
          <w:tcPr>
            <w:tcW w:type="dxa" w:w="1872"/>
          </w:tcPr>
          <w:p>
            <w:r/>
            <w:r>
              <w:rPr>
                <w:rFonts w:ascii="Open Sans" w:hAnsi="Open Sans"/>
                <w:b w:val="0"/>
                <w:i w:val="0"/>
                <w:color w:val="59595B"/>
                <w:sz w:val="18"/>
              </w:rPr>
              <w:t>VM2 — vCores (Cloudbrink)</w:t>
            </w:r>
          </w:p>
        </w:tc>
        <w:tc>
          <w:tcPr>
            <w:tcW w:type="dxa" w:w="1872"/>
          </w:tcPr>
          <w:p>
            <w:r/>
            <w:r>
              <w:rPr>
                <w:rFonts w:ascii="Open Sans" w:hAnsi="Open Sans"/>
                <w:b w:val="0"/>
                <w:i w:val="0"/>
                <w:color w:val="59595B"/>
                <w:sz w:val="18"/>
              </w:rPr>
              <w:t>CL-VC</w:t>
            </w:r>
          </w:p>
        </w:tc>
        <w:tc>
          <w:tcPr>
            <w:tcW w:type="dxa" w:w="1872"/>
          </w:tcPr>
          <w:p>
            <w:r/>
            <w:r>
              <w:rPr>
                <w:rFonts w:ascii="Open Sans" w:hAnsi="Open Sans"/>
                <w:b w:val="0"/>
                <w:i w:val="0"/>
                <w:color w:val="59595B"/>
                <w:sz w:val="18"/>
              </w:rPr>
              <w:t>2</w:t>
            </w:r>
          </w:p>
        </w:tc>
        <w:tc>
          <w:tcPr>
            <w:tcW w:type="dxa" w:w="1872"/>
          </w:tcPr>
          <w:p>
            <w:r/>
            <w:r>
              <w:rPr>
                <w:rFonts w:ascii="Open Sans" w:hAnsi="Open Sans"/>
                <w:b w:val="0"/>
                <w:i w:val="0"/>
                <w:color w:val="59595B"/>
                <w:sz w:val="18"/>
              </w:rPr>
              <w:t>$6.25</w:t>
            </w:r>
          </w:p>
        </w:tc>
        <w:tc>
          <w:tcPr>
            <w:tcW w:type="dxa" w:w="1872"/>
          </w:tcPr>
          <w:p>
            <w:r/>
            <w:r>
              <w:rPr>
                <w:rFonts w:ascii="Open Sans" w:hAnsi="Open Sans"/>
                <w:b w:val="0"/>
                <w:i w:val="0"/>
                <w:color w:val="59595B"/>
                <w:sz w:val="18"/>
              </w:rPr>
              <w:t>$12.50</w:t>
            </w:r>
          </w:p>
        </w:tc>
      </w:tr>
      <w:tr>
        <w:tc>
          <w:tcPr>
            <w:tcW w:type="dxa" w:w="1872"/>
          </w:tcPr>
          <w:p>
            <w:r/>
            <w:r>
              <w:rPr>
                <w:rFonts w:ascii="Open Sans" w:hAnsi="Open Sans"/>
                <w:b w:val="0"/>
                <w:i w:val="0"/>
                <w:color w:val="59595B"/>
                <w:sz w:val="18"/>
              </w:rPr>
              <w:t>VM2 — Memory (GB)</w:t>
            </w:r>
          </w:p>
        </w:tc>
        <w:tc>
          <w:tcPr>
            <w:tcW w:type="dxa" w:w="1872"/>
          </w:tcPr>
          <w:p>
            <w:r/>
            <w:r>
              <w:rPr>
                <w:rFonts w:ascii="Open Sans" w:hAnsi="Open Sans"/>
                <w:b w:val="0"/>
                <w:i w:val="0"/>
                <w:color w:val="59595B"/>
                <w:sz w:val="18"/>
              </w:rPr>
              <w:t>CL-GB</w:t>
            </w:r>
          </w:p>
        </w:tc>
        <w:tc>
          <w:tcPr>
            <w:tcW w:type="dxa" w:w="1872"/>
          </w:tcPr>
          <w:p>
            <w:r/>
            <w:r>
              <w:rPr>
                <w:rFonts w:ascii="Open Sans" w:hAnsi="Open Sans"/>
                <w:b w:val="0"/>
                <w:i w:val="0"/>
                <w:color w:val="59595B"/>
                <w:sz w:val="18"/>
              </w:rPr>
              <w:t>4</w:t>
            </w:r>
          </w:p>
        </w:tc>
        <w:tc>
          <w:tcPr>
            <w:tcW w:type="dxa" w:w="1872"/>
          </w:tcPr>
          <w:p>
            <w:r/>
            <w:r>
              <w:rPr>
                <w:rFonts w:ascii="Open Sans" w:hAnsi="Open Sans"/>
                <w:b w:val="0"/>
                <w:i w:val="0"/>
                <w:color w:val="59595B"/>
                <w:sz w:val="18"/>
              </w:rPr>
              <w:t>$0.63</w:t>
            </w:r>
          </w:p>
        </w:tc>
        <w:tc>
          <w:tcPr>
            <w:tcW w:type="dxa" w:w="1872"/>
          </w:tcPr>
          <w:p>
            <w:r/>
            <w:r>
              <w:rPr>
                <w:rFonts w:ascii="Open Sans" w:hAnsi="Open Sans"/>
                <w:b w:val="0"/>
                <w:i w:val="0"/>
                <w:color w:val="59595B"/>
                <w:sz w:val="18"/>
              </w:rPr>
              <w:t>$2.52</w:t>
            </w:r>
          </w:p>
        </w:tc>
      </w:tr>
      <w:tr>
        <w:tc>
          <w:tcPr>
            <w:tcW w:type="dxa" w:w="1872"/>
          </w:tcPr>
          <w:p>
            <w:r/>
            <w:r>
              <w:rPr>
                <w:rFonts w:ascii="Open Sans" w:hAnsi="Open Sans"/>
                <w:b w:val="0"/>
                <w:i w:val="0"/>
                <w:color w:val="59595B"/>
                <w:sz w:val="18"/>
              </w:rPr>
              <w:t>VM2 — Shared Bandwidth</w:t>
            </w:r>
          </w:p>
        </w:tc>
        <w:tc>
          <w:tcPr>
            <w:tcW w:type="dxa" w:w="1872"/>
          </w:tcPr>
          <w:p>
            <w:r/>
            <w:r>
              <w:rPr>
                <w:rFonts w:ascii="Open Sans" w:hAnsi="Open Sans"/>
                <w:b w:val="0"/>
                <w:i w:val="0"/>
                <w:color w:val="59595B"/>
                <w:sz w:val="18"/>
              </w:rPr>
              <w:t>CL-SBW</w:t>
            </w:r>
          </w:p>
        </w:tc>
        <w:tc>
          <w:tcPr>
            <w:tcW w:type="dxa" w:w="1872"/>
          </w:tcPr>
          <w:p>
            <w:r/>
            <w:r>
              <w:rPr>
                <w:rFonts w:ascii="Open Sans" w:hAnsi="Open Sans"/>
                <w:b w:val="0"/>
                <w:i w:val="0"/>
                <w:color w:val="59595B"/>
                <w:sz w:val="18"/>
              </w:rPr>
              <w:t>1</w:t>
            </w:r>
          </w:p>
        </w:tc>
        <w:tc>
          <w:tcPr>
            <w:tcW w:type="dxa" w:w="1872"/>
          </w:tcPr>
          <w:p>
            <w:r/>
            <w:r>
              <w:rPr>
                <w:rFonts w:ascii="Open Sans" w:hAnsi="Open Sans"/>
                <w:b w:val="0"/>
                <w:i w:val="0"/>
                <w:color w:val="59595B"/>
                <w:sz w:val="18"/>
              </w:rPr>
              <w:t>$15.00</w:t>
            </w:r>
          </w:p>
        </w:tc>
        <w:tc>
          <w:tcPr>
            <w:tcW w:type="dxa" w:w="1872"/>
          </w:tcPr>
          <w:p>
            <w:r/>
            <w:r>
              <w:rPr>
                <w:rFonts w:ascii="Open Sans" w:hAnsi="Open Sans"/>
                <w:b w:val="0"/>
                <w:i w:val="0"/>
                <w:color w:val="59595B"/>
                <w:sz w:val="18"/>
              </w:rPr>
              <w:t>$15.00</w:t>
            </w:r>
          </w:p>
        </w:tc>
      </w:tr>
      <w:tr>
        <w:tc>
          <w:tcPr>
            <w:tcW w:type="dxa" w:w="1872"/>
          </w:tcPr>
          <w:p>
            <w:r/>
            <w:r>
              <w:rPr>
                <w:rFonts w:ascii="Open Sans" w:hAnsi="Open Sans"/>
                <w:b w:val="0"/>
                <w:i w:val="0"/>
                <w:color w:val="59595B"/>
                <w:sz w:val="18"/>
              </w:rPr>
              <w:t>Production Storage</w:t>
            </w:r>
          </w:p>
        </w:tc>
        <w:tc>
          <w:tcPr>
            <w:tcW w:type="dxa" w:w="1872"/>
          </w:tcPr>
          <w:p>
            <w:r/>
            <w:r>
              <w:rPr>
                <w:rFonts w:ascii="Open Sans" w:hAnsi="Open Sans"/>
                <w:b w:val="0"/>
                <w:i w:val="0"/>
                <w:color w:val="59595B"/>
                <w:sz w:val="18"/>
              </w:rPr>
              <w:t>TB-PSTR</w:t>
            </w:r>
          </w:p>
        </w:tc>
        <w:tc>
          <w:tcPr>
            <w:tcW w:type="dxa" w:w="1872"/>
          </w:tcPr>
          <w:p>
            <w:r/>
            <w:r>
              <w:rPr>
                <w:rFonts w:ascii="Open Sans" w:hAnsi="Open Sans"/>
                <w:b w:val="0"/>
                <w:i w:val="0"/>
                <w:color w:val="59595B"/>
                <w:sz w:val="18"/>
              </w:rPr>
              <w:t>1 TB</w:t>
            </w:r>
          </w:p>
        </w:tc>
        <w:tc>
          <w:tcPr>
            <w:tcW w:type="dxa" w:w="1872"/>
          </w:tcPr>
          <w:p>
            <w:r/>
            <w:r>
              <w:rPr>
                <w:rFonts w:ascii="Open Sans" w:hAnsi="Open Sans"/>
                <w:b w:val="0"/>
                <w:i w:val="0"/>
                <w:color w:val="59595B"/>
                <w:sz w:val="18"/>
              </w:rPr>
              <w:t>$200.00</w:t>
            </w:r>
          </w:p>
        </w:tc>
        <w:tc>
          <w:tcPr>
            <w:tcW w:type="dxa" w:w="1872"/>
          </w:tcPr>
          <w:p>
            <w:r/>
            <w:r>
              <w:rPr>
                <w:rFonts w:ascii="Open Sans" w:hAnsi="Open Sans"/>
                <w:b w:val="0"/>
                <w:i w:val="0"/>
                <w:color w:val="59595B"/>
                <w:sz w:val="18"/>
              </w:rPr>
              <w:t>$200.00</w:t>
            </w:r>
          </w:p>
        </w:tc>
      </w:tr>
      <w:tr>
        <w:tc>
          <w:tcPr>
            <w:tcW w:type="dxa" w:w="1872"/>
          </w:tcPr>
          <w:p>
            <w:r/>
            <w:r>
              <w:rPr>
                <w:rFonts w:ascii="Open Sans" w:hAnsi="Open Sans"/>
                <w:b w:val="0"/>
                <w:i w:val="0"/>
                <w:color w:val="59595B"/>
                <w:sz w:val="18"/>
              </w:rPr>
              <w:t>Backup Storage</w:t>
            </w:r>
          </w:p>
        </w:tc>
        <w:tc>
          <w:tcPr>
            <w:tcW w:type="dxa" w:w="1872"/>
          </w:tcPr>
          <w:p>
            <w:r/>
            <w:r>
              <w:rPr>
                <w:rFonts w:ascii="Open Sans" w:hAnsi="Open Sans"/>
                <w:b w:val="0"/>
                <w:i w:val="0"/>
                <w:color w:val="59595B"/>
                <w:sz w:val="18"/>
              </w:rPr>
              <w:t>TB-BSTR</w:t>
            </w:r>
          </w:p>
        </w:tc>
        <w:tc>
          <w:tcPr>
            <w:tcW w:type="dxa" w:w="1872"/>
          </w:tcPr>
          <w:p>
            <w:r/>
            <w:r>
              <w:rPr>
                <w:rFonts w:ascii="Open Sans" w:hAnsi="Open Sans"/>
                <w:b w:val="0"/>
                <w:i w:val="0"/>
                <w:color w:val="59595B"/>
                <w:sz w:val="18"/>
              </w:rPr>
              <w:t>1 TB</w:t>
            </w:r>
          </w:p>
        </w:tc>
        <w:tc>
          <w:tcPr>
            <w:tcW w:type="dxa" w:w="1872"/>
          </w:tcPr>
          <w:p>
            <w:r/>
            <w:r>
              <w:rPr>
                <w:rFonts w:ascii="Open Sans" w:hAnsi="Open Sans"/>
                <w:b w:val="0"/>
                <w:i w:val="0"/>
                <w:color w:val="59595B"/>
                <w:sz w:val="18"/>
              </w:rPr>
              <w:t>$50.00</w:t>
            </w:r>
          </w:p>
        </w:tc>
        <w:tc>
          <w:tcPr>
            <w:tcW w:type="dxa" w:w="1872"/>
          </w:tcPr>
          <w:p>
            <w:r/>
            <w:r>
              <w:rPr>
                <w:rFonts w:ascii="Open Sans" w:hAnsi="Open Sans"/>
                <w:b w:val="0"/>
                <w:i w:val="0"/>
                <w:color w:val="59595B"/>
                <w:sz w:val="18"/>
              </w:rPr>
              <w:t>$50.00</w:t>
            </w:r>
          </w:p>
        </w:tc>
      </w:tr>
      <w:tr>
        <w:tc>
          <w:tcPr>
            <w:tcW w:type="dxa" w:w="1872"/>
            <w:shd w:fill="F8F9FA" w:val="clear"/>
          </w:tcPr>
          <w:p>
            <w:r/>
            <w:r>
              <w:rPr>
                <w:rFonts w:ascii="Open Sans" w:hAnsi="Open Sans"/>
                <w:b/>
                <w:i w:val="0"/>
                <w:color w:val="1A1A2E"/>
                <w:sz w:val="18"/>
              </w:rPr>
              <w:t>Infrastructure Subtotal</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$330.10</w:t>
            </w:r>
          </w:p>
        </w:tc>
      </w:tr>
      <w:tr>
        <w:tc>
          <w:tcPr>
            <w:tcW w:type="dxa" w:w="1872"/>
          </w:tcPr>
          <w:p>
            <w:r/>
            <w:r>
              <w:rPr>
                <w:rFonts w:ascii="Open Sans" w:hAnsi="Open Sans"/>
                <w:b w:val="0"/>
                <w:i w:val="0"/>
                <w:color w:val="59595B"/>
                <w:sz w:val="18"/>
              </w:rPr>
              <w:t>Windows Server Std — 2-Core Pack</w:t>
            </w:r>
          </w:p>
        </w:tc>
        <w:tc>
          <w:tcPr>
            <w:tcW w:type="dxa" w:w="1872"/>
          </w:tcPr>
          <w:p>
            <w:r/>
            <w:r>
              <w:rPr>
                <w:rFonts w:ascii="Open Sans" w:hAnsi="Open Sans"/>
                <w:b w:val="0"/>
                <w:i w:val="0"/>
                <w:color w:val="59595B"/>
                <w:sz w:val="18"/>
              </w:rPr>
              <w:t>MS-STD</w:t>
            </w:r>
          </w:p>
        </w:tc>
        <w:tc>
          <w:tcPr>
            <w:tcW w:type="dxa" w:w="1872"/>
          </w:tcPr>
          <w:p>
            <w:r/>
            <w:r>
              <w:rPr>
                <w:rFonts w:ascii="Open Sans" w:hAnsi="Open Sans"/>
                <w:b w:val="0"/>
                <w:i w:val="0"/>
                <w:color w:val="59595B"/>
                <w:sz w:val="18"/>
              </w:rPr>
              <w:t>4</w:t>
            </w:r>
          </w:p>
        </w:tc>
        <w:tc>
          <w:tcPr>
            <w:tcW w:type="dxa" w:w="1872"/>
          </w:tcPr>
          <w:p>
            <w:r/>
            <w:r>
              <w:rPr>
                <w:rFonts w:ascii="Open Sans" w:hAnsi="Open Sans"/>
                <w:b w:val="0"/>
                <w:i w:val="0"/>
                <w:color w:val="59595B"/>
                <w:sz w:val="18"/>
              </w:rPr>
              <w:t>$5.25</w:t>
            </w:r>
          </w:p>
        </w:tc>
        <w:tc>
          <w:tcPr>
            <w:tcW w:type="dxa" w:w="1872"/>
          </w:tcPr>
          <w:p>
            <w:r/>
            <w:r>
              <w:rPr>
                <w:rFonts w:ascii="Open Sans" w:hAnsi="Open Sans"/>
                <w:b w:val="0"/>
                <w:i w:val="0"/>
                <w:color w:val="59595B"/>
                <w:sz w:val="18"/>
              </w:rPr>
              <w:t>$21.00</w:t>
            </w:r>
          </w:p>
        </w:tc>
      </w:tr>
      <w:tr>
        <w:tc>
          <w:tcPr>
            <w:tcW w:type="dxa" w:w="1872"/>
            <w:shd w:fill="F8F9FA" w:val="clear"/>
          </w:tcPr>
          <w:p>
            <w:r/>
            <w:r>
              <w:rPr>
                <w:rFonts w:ascii="Open Sans" w:hAnsi="Open Sans"/>
                <w:b/>
                <w:i w:val="0"/>
                <w:color w:val="1A1A2E"/>
                <w:sz w:val="18"/>
              </w:rPr>
              <w:t>Licensing Subtotal</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$21.00</w:t>
            </w:r>
          </w:p>
        </w:tc>
      </w:tr>
      <w:tr>
        <w:tc>
          <w:tcPr>
            <w:tcW w:type="dxa" w:w="1872"/>
          </w:tcPr>
          <w:p>
            <w:r/>
            <w:r>
              <w:rPr>
                <w:rFonts w:ascii="Open Sans" w:hAnsi="Open Sans"/>
                <w:b w:val="0"/>
                <w:i w:val="0"/>
                <w:color w:val="59595B"/>
                <w:sz w:val="18"/>
              </w:rPr>
              <w:t>CrowdStrike — Server</w:t>
            </w:r>
          </w:p>
        </w:tc>
        <w:tc>
          <w:tcPr>
            <w:tcW w:type="dxa" w:w="1872"/>
          </w:tcPr>
          <w:p>
            <w:r/>
            <w:r>
              <w:rPr>
                <w:rFonts w:ascii="Open Sans" w:hAnsi="Open Sans"/>
                <w:b w:val="0"/>
                <w:i w:val="0"/>
                <w:color w:val="59595B"/>
                <w:sz w:val="18"/>
              </w:rPr>
              <w:t>AVS</w:t>
            </w:r>
          </w:p>
        </w:tc>
        <w:tc>
          <w:tcPr>
            <w:tcW w:type="dxa" w:w="1872"/>
          </w:tcPr>
          <w:p>
            <w:r/>
            <w:r>
              <w:rPr>
                <w:rFonts w:ascii="Open Sans" w:hAnsi="Open Sans"/>
                <w:b w:val="0"/>
                <w:i w:val="0"/>
                <w:color w:val="59595B"/>
                <w:sz w:val="18"/>
              </w:rPr>
              <w:t>2</w:t>
            </w:r>
          </w:p>
        </w:tc>
        <w:tc>
          <w:tcPr>
            <w:tcW w:type="dxa" w:w="1872"/>
          </w:tcPr>
          <w:p>
            <w:r/>
            <w:r>
              <w:rPr>
                <w:rFonts w:ascii="Open Sans" w:hAnsi="Open Sans"/>
                <w:b w:val="0"/>
                <w:i w:val="0"/>
                <w:color w:val="59595B"/>
                <w:sz w:val="18"/>
              </w:rPr>
              <w:t>$10.50</w:t>
            </w:r>
          </w:p>
        </w:tc>
        <w:tc>
          <w:tcPr>
            <w:tcW w:type="dxa" w:w="1872"/>
          </w:tcPr>
          <w:p>
            <w:r/>
            <w:r>
              <w:rPr>
                <w:rFonts w:ascii="Open Sans" w:hAnsi="Open Sans"/>
                <w:b w:val="0"/>
                <w:i w:val="0"/>
                <w:color w:val="59595B"/>
                <w:sz w:val="18"/>
              </w:rPr>
              <w:t>$21.00</w:t>
            </w:r>
          </w:p>
        </w:tc>
      </w:tr>
      <w:tr>
        <w:tc>
          <w:tcPr>
            <w:tcW w:type="dxa" w:w="1872"/>
          </w:tcPr>
          <w:p>
            <w:r/>
            <w:r>
              <w:rPr>
                <w:rFonts w:ascii="Open Sans" w:hAnsi="Open Sans"/>
                <w:b w:val="0"/>
                <w:i w:val="0"/>
                <w:color w:val="59595B"/>
                <w:sz w:val="18"/>
              </w:rPr>
              <w:t>Huntress — Server</w:t>
            </w:r>
          </w:p>
        </w:tc>
        <w:tc>
          <w:tcPr>
            <w:tcW w:type="dxa" w:w="1872"/>
          </w:tcPr>
          <w:p>
            <w:r/>
            <w:r>
              <w:rPr>
                <w:rFonts w:ascii="Open Sans" w:hAnsi="Open Sans"/>
                <w:b w:val="0"/>
                <w:i w:val="0"/>
                <w:color w:val="59595B"/>
                <w:sz w:val="18"/>
              </w:rPr>
              <w:t>AVHS</w:t>
            </w:r>
          </w:p>
        </w:tc>
        <w:tc>
          <w:tcPr>
            <w:tcW w:type="dxa" w:w="1872"/>
          </w:tcPr>
          <w:p>
            <w:r/>
            <w:r>
              <w:rPr>
                <w:rFonts w:ascii="Open Sans" w:hAnsi="Open Sans"/>
                <w:b w:val="0"/>
                <w:i w:val="0"/>
                <w:color w:val="59595B"/>
                <w:sz w:val="18"/>
              </w:rPr>
              <w:t>2</w:t>
            </w:r>
          </w:p>
        </w:tc>
        <w:tc>
          <w:tcPr>
            <w:tcW w:type="dxa" w:w="1872"/>
          </w:tcPr>
          <w:p>
            <w:r/>
            <w:r>
              <w:rPr>
                <w:rFonts w:ascii="Open Sans" w:hAnsi="Open Sans"/>
                <w:b w:val="0"/>
                <w:i w:val="0"/>
                <w:color w:val="59595B"/>
                <w:sz w:val="18"/>
              </w:rPr>
              <w:t>$6.00</w:t>
            </w:r>
          </w:p>
        </w:tc>
        <w:tc>
          <w:tcPr>
            <w:tcW w:type="dxa" w:w="1872"/>
          </w:tcPr>
          <w:p>
            <w:r/>
            <w:r>
              <w:rPr>
                <w:rFonts w:ascii="Open Sans" w:hAnsi="Open Sans"/>
                <w:b w:val="0"/>
                <w:i w:val="0"/>
                <w:color w:val="59595B"/>
                <w:sz w:val="18"/>
              </w:rPr>
              <w:t>$12.00</w:t>
            </w:r>
          </w:p>
        </w:tc>
      </w:tr>
      <w:tr>
        <w:tc>
          <w:tcPr>
            <w:tcW w:type="dxa" w:w="1872"/>
          </w:tcPr>
          <w:p>
            <w:r/>
            <w:r>
              <w:rPr>
                <w:rFonts w:ascii="Open Sans" w:hAnsi="Open Sans"/>
                <w:b w:val="0"/>
                <w:i w:val="0"/>
                <w:color w:val="59595B"/>
                <w:sz w:val="18"/>
              </w:rPr>
              <w:t>Patch Management</w:t>
            </w:r>
          </w:p>
        </w:tc>
        <w:tc>
          <w:tcPr>
            <w:tcW w:type="dxa" w:w="1872"/>
          </w:tcPr>
          <w:p>
            <w:r/>
            <w:r>
              <w:rPr>
                <w:rFonts w:ascii="Open Sans" w:hAnsi="Open Sans"/>
                <w:b w:val="0"/>
                <w:i w:val="0"/>
                <w:color w:val="59595B"/>
                <w:sz w:val="18"/>
              </w:rPr>
              <w:t>PMW</w:t>
            </w:r>
          </w:p>
        </w:tc>
        <w:tc>
          <w:tcPr>
            <w:tcW w:type="dxa" w:w="1872"/>
          </w:tcPr>
          <w:p>
            <w:r/>
            <w:r>
              <w:rPr>
                <w:rFonts w:ascii="Open Sans" w:hAnsi="Open Sans"/>
                <w:b w:val="0"/>
                <w:i w:val="0"/>
                <w:color w:val="59595B"/>
                <w:sz w:val="18"/>
              </w:rPr>
              <w:t>2</w:t>
            </w:r>
          </w:p>
        </w:tc>
        <w:tc>
          <w:tcPr>
            <w:tcW w:type="dxa" w:w="1872"/>
          </w:tcPr>
          <w:p>
            <w:r/>
            <w:r>
              <w:rPr>
                <w:rFonts w:ascii="Open Sans" w:hAnsi="Open Sans"/>
                <w:b w:val="0"/>
                <w:i w:val="0"/>
                <w:color w:val="59595B"/>
                <w:sz w:val="18"/>
              </w:rPr>
              <w:t>$4.00</w:t>
            </w:r>
          </w:p>
        </w:tc>
        <w:tc>
          <w:tcPr>
            <w:tcW w:type="dxa" w:w="1872"/>
          </w:tcPr>
          <w:p>
            <w:r/>
            <w:r>
              <w:rPr>
                <w:rFonts w:ascii="Open Sans" w:hAnsi="Open Sans"/>
                <w:b w:val="0"/>
                <w:i w:val="0"/>
                <w:color w:val="59595B"/>
                <w:sz w:val="18"/>
              </w:rPr>
              <w:t>$8.00</w:t>
            </w:r>
          </w:p>
        </w:tc>
      </w:tr>
      <w:tr>
        <w:tc>
          <w:tcPr>
            <w:tcW w:type="dxa" w:w="1872"/>
          </w:tcPr>
          <w:p>
            <w:r/>
            <w:r>
              <w:rPr>
                <w:rFonts w:ascii="Open Sans" w:hAnsi="Open Sans"/>
                <w:b w:val="0"/>
                <w:i w:val="0"/>
                <w:color w:val="59595B"/>
                <w:sz w:val="18"/>
              </w:rPr>
              <w:t>My Remote</w:t>
            </w:r>
          </w:p>
        </w:tc>
        <w:tc>
          <w:tcPr>
            <w:tcW w:type="dxa" w:w="1872"/>
          </w:tcPr>
          <w:p>
            <w:r/>
            <w:r>
              <w:rPr>
                <w:rFonts w:ascii="Open Sans" w:hAnsi="Open Sans"/>
                <w:b w:val="0"/>
                <w:i w:val="0"/>
                <w:color w:val="59595B"/>
                <w:sz w:val="18"/>
              </w:rPr>
              <w:t>MR</w:t>
            </w:r>
          </w:p>
        </w:tc>
        <w:tc>
          <w:tcPr>
            <w:tcW w:type="dxa" w:w="1872"/>
          </w:tcPr>
          <w:p>
            <w:r/>
            <w:r>
              <w:rPr>
                <w:rFonts w:ascii="Open Sans" w:hAnsi="Open Sans"/>
                <w:b w:val="0"/>
                <w:i w:val="0"/>
                <w:color w:val="59595B"/>
                <w:sz w:val="18"/>
              </w:rPr>
              <w:t>2</w:t>
            </w:r>
          </w:p>
        </w:tc>
        <w:tc>
          <w:tcPr>
            <w:tcW w:type="dxa" w:w="1872"/>
          </w:tcPr>
          <w:p>
            <w:r/>
            <w:r>
              <w:rPr>
                <w:rFonts w:ascii="Open Sans" w:hAnsi="Open Sans"/>
                <w:b w:val="0"/>
                <w:i w:val="0"/>
                <w:color w:val="59595B"/>
                <w:sz w:val="18"/>
              </w:rPr>
              <w:t>$2.00</w:t>
            </w:r>
          </w:p>
        </w:tc>
        <w:tc>
          <w:tcPr>
            <w:tcW w:type="dxa" w:w="1872"/>
          </w:tcPr>
          <w:p>
            <w:r/>
            <w:r>
              <w:rPr>
                <w:rFonts w:ascii="Open Sans" w:hAnsi="Open Sans"/>
                <w:b w:val="0"/>
                <w:i w:val="0"/>
                <w:color w:val="59595B"/>
                <w:sz w:val="18"/>
              </w:rPr>
              <w:t>$4.00</w:t>
            </w:r>
          </w:p>
        </w:tc>
      </w:tr>
      <w:tr>
        <w:tc>
          <w:tcPr>
            <w:tcW w:type="dxa" w:w="1872"/>
            <w:shd w:fill="F8F9FA" w:val="clear"/>
          </w:tcPr>
          <w:p>
            <w:r/>
            <w:r>
              <w:rPr>
                <w:rFonts w:ascii="Open Sans" w:hAnsi="Open Sans"/>
                <w:b/>
                <w:i w:val="0"/>
                <w:color w:val="1A1A2E"/>
                <w:sz w:val="18"/>
              </w:rPr>
              <w:t>Security Subtotal</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$45.00</w:t>
            </w:r>
          </w:p>
        </w:tc>
      </w:tr>
      <w:tr>
        <w:tc>
          <w:tcPr>
            <w:tcW w:type="dxa" w:w="1872"/>
          </w:tcPr>
          <w:p>
            <w:r/>
            <w:r>
              <w:rPr>
                <w:rFonts w:ascii="Open Sans" w:hAnsi="Open Sans"/>
                <w:b w:val="0"/>
                <w:i w:val="0"/>
                <w:color w:val="59595B"/>
                <w:sz w:val="18"/>
              </w:rPr>
              <w:t>Image Backup (Veeam)</w:t>
            </w:r>
          </w:p>
        </w:tc>
        <w:tc>
          <w:tcPr>
            <w:tcW w:type="dxa" w:w="1872"/>
          </w:tcPr>
          <w:p>
            <w:r/>
            <w:r>
              <w:rPr>
                <w:rFonts w:ascii="Open Sans" w:hAnsi="Open Sans"/>
                <w:b w:val="0"/>
                <w:i w:val="0"/>
                <w:color w:val="59595B"/>
                <w:sz w:val="18"/>
              </w:rPr>
              <w:t>IB</w:t>
            </w:r>
          </w:p>
        </w:tc>
        <w:tc>
          <w:tcPr>
            <w:tcW w:type="dxa" w:w="1872"/>
          </w:tcPr>
          <w:p>
            <w:r/>
            <w:r>
              <w:rPr>
                <w:rFonts w:ascii="Open Sans" w:hAnsi="Open Sans"/>
                <w:b w:val="0"/>
                <w:i w:val="0"/>
                <w:color w:val="59595B"/>
                <w:sz w:val="18"/>
              </w:rPr>
              <w:t>2</w:t>
            </w:r>
          </w:p>
        </w:tc>
        <w:tc>
          <w:tcPr>
            <w:tcW w:type="dxa" w:w="1872"/>
          </w:tcPr>
          <w:p>
            <w:r/>
            <w:r>
              <w:rPr>
                <w:rFonts w:ascii="Open Sans" w:hAnsi="Open Sans"/>
                <w:b w:val="0"/>
                <w:i w:val="0"/>
                <w:color w:val="59595B"/>
                <w:sz w:val="18"/>
              </w:rPr>
              <w:t>$15.00</w:t>
            </w:r>
          </w:p>
        </w:tc>
        <w:tc>
          <w:tcPr>
            <w:tcW w:type="dxa" w:w="1872"/>
          </w:tcPr>
          <w:p>
            <w:r/>
            <w:r>
              <w:rPr>
                <w:rFonts w:ascii="Open Sans" w:hAnsi="Open Sans"/>
                <w:b w:val="0"/>
                <w:i w:val="0"/>
                <w:color w:val="59595B"/>
                <w:sz w:val="18"/>
              </w:rPr>
              <w:t>$30.00</w:t>
            </w:r>
          </w:p>
        </w:tc>
      </w:tr>
      <w:tr>
        <w:tc>
          <w:tcPr>
            <w:tcW w:type="dxa" w:w="1872"/>
            <w:shd w:fill="F8F9FA" w:val="clear"/>
          </w:tcPr>
          <w:p>
            <w:r/>
            <w:r>
              <w:rPr>
                <w:rFonts w:ascii="Open Sans" w:hAnsi="Open Sans"/>
                <w:b/>
                <w:i w:val="0"/>
                <w:color w:val="1A1A2E"/>
                <w:sz w:val="18"/>
              </w:rPr>
              <w:t>Backup Subtotal</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$30.00</w:t>
            </w:r>
          </w:p>
        </w:tc>
      </w:tr>
      <w:tr>
        <w:tc>
          <w:tcPr>
            <w:tcW w:type="dxa" w:w="1872"/>
            <w:shd w:fill="F8F9FA" w:val="clear"/>
          </w:tcPr>
          <w:p>
            <w:r/>
            <w:r>
              <w:rPr>
                <w:rFonts w:ascii="Open Sans" w:hAnsi="Open Sans"/>
                <w:b/>
                <w:i w:val="0"/>
                <w:color w:val="1A1A2E"/>
                <w:sz w:val="18"/>
              </w:rPr>
              <w:t>TOTAL MONTHLY</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$426.10</w:t>
            </w:r>
          </w:p>
        </w:tc>
      </w:tr>
      <w:tr>
        <w:tc>
          <w:tcPr>
            <w:tcW w:type="dxa" w:w="1872"/>
            <w:shd w:fill="F8F9FA" w:val="clear"/>
          </w:tcPr>
          <w:p>
            <w:r/>
            <w:r>
              <w:rPr>
                <w:rFonts w:ascii="Open Sans" w:hAnsi="Open Sans"/>
                <w:b/>
                <w:i w:val="0"/>
                <w:color w:val="1A1A2E"/>
                <w:sz w:val="18"/>
              </w:rPr>
              <w:t>TOTAL ANNUAL</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$5,113.20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1.4 Service Levels</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4680"/>
        <w:gridCol w:w="4680"/>
      </w:tblGrid>
      <w:tr>
        <w:tc>
          <w:tcPr>
            <w:tcW w:type="dxa" w:w="4680"/>
            <w:shd w:fill="006DB6" w:val="clear"/>
          </w:tcPr>
          <w:p>
            <w:r/>
            <w:r>
              <w:rPr>
                <w:rFonts w:ascii="Open Sans" w:hAnsi="Open Sans"/>
                <w:b/>
                <w:i w:val="0"/>
                <w:color w:val="FFFFFF"/>
                <w:sz w:val="18"/>
              </w:rPr>
              <w:t>Service Level</w:t>
            </w:r>
          </w:p>
        </w:tc>
        <w:tc>
          <w:tcPr>
            <w:tcW w:type="dxa" w:w="4680"/>
            <w:shd w:fill="006DB6" w:val="clear"/>
          </w:tcPr>
          <w:p>
            <w:r/>
            <w:r>
              <w:rPr>
                <w:rFonts w:ascii="Open Sans" w:hAnsi="Open Sans"/>
                <w:b/>
                <w:i w:val="0"/>
                <w:color w:val="FFFFFF"/>
                <w:sz w:val="18"/>
              </w:rPr>
              <w:t>Target</w:t>
            </w:r>
          </w:p>
        </w:tc>
      </w:tr>
      <w:tr>
        <w:tc>
          <w:tcPr>
            <w:tcW w:type="dxa" w:w="4680"/>
          </w:tcPr>
          <w:p>
            <w:r/>
            <w:r>
              <w:rPr>
                <w:rFonts w:ascii="Open Sans" w:hAnsi="Open Sans"/>
                <w:b w:val="0"/>
                <w:i w:val="0"/>
                <w:color w:val="59595B"/>
                <w:sz w:val="18"/>
              </w:rPr>
              <w:t>Infrastructure Uptime</w:t>
            </w:r>
          </w:p>
        </w:tc>
        <w:tc>
          <w:tcPr>
            <w:tcW w:type="dxa" w:w="4680"/>
          </w:tcPr>
          <w:p>
            <w:r/>
            <w:r>
              <w:rPr>
                <w:rFonts w:ascii="Open Sans" w:hAnsi="Open Sans"/>
                <w:b w:val="0"/>
                <w:i w:val="0"/>
                <w:color w:val="59595B"/>
                <w:sz w:val="18"/>
              </w:rPr>
              <w:t>99.9% monthly (excluding scheduled maintenance)</w:t>
            </w:r>
          </w:p>
        </w:tc>
      </w:tr>
      <w:tr>
        <w:tc>
          <w:tcPr>
            <w:tcW w:type="dxa" w:w="4680"/>
          </w:tcPr>
          <w:p>
            <w:r/>
            <w:r>
              <w:rPr>
                <w:rFonts w:ascii="Open Sans" w:hAnsi="Open Sans"/>
                <w:b w:val="0"/>
                <w:i w:val="0"/>
                <w:color w:val="59595B"/>
                <w:sz w:val="18"/>
              </w:rPr>
              <w:t>Scheduled Maintenance</w:t>
            </w:r>
          </w:p>
        </w:tc>
        <w:tc>
          <w:tcPr>
            <w:tcW w:type="dxa" w:w="4680"/>
          </w:tcPr>
          <w:p>
            <w:r/>
            <w:r>
              <w:rPr>
                <w:rFonts w:ascii="Open Sans" w:hAnsi="Open Sans"/>
                <w:b w:val="0"/>
                <w:i w:val="0"/>
                <w:color w:val="59595B"/>
                <w:sz w:val="18"/>
              </w:rPr>
              <w:t>Tuesday evenings and Saturdays (with advance notice)</w:t>
            </w:r>
          </w:p>
        </w:tc>
      </w:tr>
      <w:tr>
        <w:tc>
          <w:tcPr>
            <w:tcW w:type="dxa" w:w="4680"/>
          </w:tcPr>
          <w:p>
            <w:r/>
            <w:r>
              <w:rPr>
                <w:rFonts w:ascii="Open Sans" w:hAnsi="Open Sans"/>
                <w:b w:val="0"/>
                <w:i w:val="0"/>
                <w:color w:val="59595B"/>
                <w:sz w:val="18"/>
              </w:rPr>
              <w:t>Critical Incident Response</w:t>
            </w:r>
          </w:p>
        </w:tc>
        <w:tc>
          <w:tcPr>
            <w:tcW w:type="dxa" w:w="4680"/>
          </w:tcPr>
          <w:p>
            <w:r/>
            <w:r>
              <w:rPr>
                <w:rFonts w:ascii="Open Sans" w:hAnsi="Open Sans"/>
                <w:b w:val="0"/>
                <w:i w:val="0"/>
                <w:color w:val="59595B"/>
                <w:sz w:val="18"/>
              </w:rPr>
              <w:t>Within 1 hour of notification</w:t>
            </w:r>
          </w:p>
        </w:tc>
      </w:tr>
      <w:tr>
        <w:tc>
          <w:tcPr>
            <w:tcW w:type="dxa" w:w="4680"/>
          </w:tcPr>
          <w:p>
            <w:r/>
            <w:r>
              <w:rPr>
                <w:rFonts w:ascii="Open Sans" w:hAnsi="Open Sans"/>
                <w:b w:val="0"/>
                <w:i w:val="0"/>
                <w:color w:val="59595B"/>
                <w:sz w:val="18"/>
              </w:rPr>
              <w:t>Standard Support Response</w:t>
            </w:r>
          </w:p>
        </w:tc>
        <w:tc>
          <w:tcPr>
            <w:tcW w:type="dxa" w:w="4680"/>
          </w:tcPr>
          <w:p>
            <w:r/>
            <w:r>
              <w:rPr>
                <w:rFonts w:ascii="Open Sans" w:hAnsi="Open Sans"/>
                <w:b w:val="0"/>
                <w:i w:val="0"/>
                <w:color w:val="59595B"/>
                <w:sz w:val="18"/>
              </w:rPr>
              <w:t>Within 4 business hours</w:t>
            </w:r>
          </w:p>
        </w:tc>
      </w:tr>
      <w:tr>
        <w:tc>
          <w:tcPr>
            <w:tcW w:type="dxa" w:w="4680"/>
          </w:tcPr>
          <w:p>
            <w:r/>
            <w:r>
              <w:rPr>
                <w:rFonts w:ascii="Open Sans" w:hAnsi="Open Sans"/>
                <w:b w:val="0"/>
                <w:i w:val="0"/>
                <w:color w:val="59595B"/>
                <w:sz w:val="18"/>
              </w:rPr>
              <w:t>Emergency Maintenance</w:t>
            </w:r>
          </w:p>
        </w:tc>
        <w:tc>
          <w:tcPr>
            <w:tcW w:type="dxa" w:w="4680"/>
          </w:tcPr>
          <w:p>
            <w:r/>
            <w:r>
              <w:rPr>
                <w:rFonts w:ascii="Open Sans" w:hAnsi="Open Sans"/>
                <w:b w:val="0"/>
                <w:i w:val="0"/>
                <w:color w:val="59595B"/>
                <w:sz w:val="18"/>
              </w:rPr>
              <w:t>As needed with reasonable notice</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1.4a Service Level Remedies</w:t>
            </w:r>
          </w:p>
        </w:tc>
      </w:tr>
    </w:tbl>
    <w:p>
      <w:pPr>
        <w:spacing w:after="60"/>
      </w:pPr>
      <w:r>
        <w:rPr>
          <w:rFonts w:ascii="Open Sans" w:hAnsi="Open Sans"/>
          <w:b/>
          <w:i w:val="0"/>
          <w:color w:val="006DB6"/>
          <w:sz w:val="20"/>
        </w:rPr>
        <w:t xml:space="preserve">(a) </w:t>
      </w:r>
      <w:r>
        <w:rPr>
          <w:rFonts w:ascii="Open Sans" w:hAnsi="Open Sans"/>
          <w:b w:val="0"/>
          <w:i w:val="0"/>
          <w:color w:val="59595B"/>
          <w:sz w:val="20"/>
        </w:rPr>
        <w:t>Service Credits. If Technijian fails to meet the Infrastructure Uptime target of 99.9% in any calendar month, Client shall be entitled to a service credit equal to 5% of the monthly recurring charges for the affected service for each full 0.1% below the target, up to a maximum credit of 25% of the monthly recurring charges for that service.</w:t>
      </w:r>
    </w:p>
    <w:p>
      <w:pPr>
        <w:spacing w:after="60"/>
      </w:pPr>
      <w:r>
        <w:rPr>
          <w:rFonts w:ascii="Open Sans" w:hAnsi="Open Sans"/>
          <w:b/>
          <w:i w:val="0"/>
          <w:color w:val="006DB6"/>
          <w:sz w:val="20"/>
        </w:rPr>
        <w:t xml:space="preserve">(b) </w:t>
      </w:r>
      <w:r>
        <w:rPr>
          <w:rFonts w:ascii="Open Sans" w:hAnsi="Open Sans"/>
          <w:b w:val="0"/>
          <w:i w:val="0"/>
          <w:color w:val="59595B"/>
          <w:sz w:val="20"/>
        </w:rPr>
        <w:t>Chronic Failure. If Technijian fails to meet the Infrastructure Uptime target for three (3) or more consecutive months, Client shall have the right to terminate the affected service without penalty upon thirty (30) days written notice.</w:t>
      </w:r>
    </w:p>
    <w:p>
      <w:pPr>
        <w:spacing w:after="60"/>
      </w:pPr>
      <w:r>
        <w:rPr>
          <w:rFonts w:ascii="Open Sans" w:hAnsi="Open Sans"/>
          <w:b/>
          <w:i w:val="0"/>
          <w:color w:val="006DB6"/>
          <w:sz w:val="20"/>
        </w:rPr>
        <w:t xml:space="preserve">(c) </w:t>
      </w:r>
      <w:r>
        <w:rPr>
          <w:rFonts w:ascii="Open Sans" w:hAnsi="Open Sans"/>
          <w:b w:val="0"/>
          <w:i w:val="0"/>
          <w:color w:val="59595B"/>
          <w:sz w:val="20"/>
        </w:rPr>
        <w:t>Credit Requests. To receive a service credit, Client must submit a written request within thirty (30) days of the end of the affected month. Service credits shall be applied against future invoices and shall not be paid as cash refunds.</w:t>
      </w:r>
    </w:p>
    <w:p>
      <w:pPr>
        <w:spacing w:after="60"/>
      </w:pPr>
      <w:r>
        <w:rPr>
          <w:rFonts w:ascii="Open Sans" w:hAnsi="Open Sans"/>
          <w:b/>
          <w:i w:val="0"/>
          <w:color w:val="006DB6"/>
          <w:sz w:val="20"/>
        </w:rPr>
        <w:t xml:space="preserve">(d) </w:t>
      </w:r>
      <w:r>
        <w:rPr>
          <w:rFonts w:ascii="Open Sans" w:hAnsi="Open Sans"/>
          <w:b w:val="0"/>
          <w:i w:val="0"/>
          <w:color w:val="59595B"/>
          <w:sz w:val="20"/>
        </w:rPr>
        <w:t>Exclusions. Service level targets and remedies do not apply during scheduled maintenance windows, force majeure events, or outages caused by Client’s actions, third-party services not managed by Technijian, or factors outside Technijian’s reasonable control.</w:t>
      </w:r>
    </w:p>
    <w:p>
      <w:pPr>
        <w:spacing w:after="60"/>
      </w:pPr>
      <w:r>
        <w:rPr>
          <w:rFonts w:ascii="Open Sans" w:hAnsi="Open Sans"/>
          <w:b/>
          <w:i w:val="0"/>
          <w:color w:val="006DB6"/>
          <w:sz w:val="20"/>
        </w:rPr>
        <w:t xml:space="preserve">(e) </w:t>
      </w:r>
      <w:r>
        <w:rPr>
          <w:rFonts w:ascii="Open Sans" w:hAnsi="Open Sans"/>
          <w:b w:val="0"/>
          <w:i w:val="0"/>
          <w:color w:val="59595B"/>
          <w:sz w:val="20"/>
        </w:rPr>
        <w:t>Sole Remedy. Service credits under this Section 1.4a are Client’s sole and exclusive remedy for Technijian’s failure to meet the applicable service levels.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1.5 Monitoring and Reporting</w:t>
            </w:r>
          </w:p>
        </w:tc>
      </w:tr>
    </w:tbl>
    <w:p>
      <w:pPr>
        <w:spacing w:after="120"/>
      </w:pPr>
      <w:r>
        <w:rPr>
          <w:rFonts w:ascii="Open Sans" w:hAnsi="Open Sans"/>
          <w:b w:val="0"/>
          <w:i w:val="0"/>
          <w:color w:val="59595B"/>
          <w:sz w:val="20"/>
        </w:rPr>
        <w:t>Technijian shall provide:</w:t>
      </w:r>
    </w:p>
    <w:p>
      <w:pPr>
        <w:spacing w:after="60"/>
      </w:pPr>
      <w:r>
        <w:rPr>
          <w:rFonts w:ascii="Open Sans" w:hAnsi="Open Sans"/>
          <w:b/>
          <w:i w:val="0"/>
          <w:color w:val="006DB6"/>
          <w:sz w:val="20"/>
        </w:rPr>
        <w:t xml:space="preserve">(a) </w:t>
      </w:r>
      <w:r>
        <w:rPr>
          <w:rFonts w:ascii="Open Sans" w:hAnsi="Open Sans"/>
          <w:b w:val="0"/>
          <w:i w:val="0"/>
          <w:color w:val="59595B"/>
          <w:sz w:val="20"/>
        </w:rPr>
        <w:t>24/7 monitoring of Client’s infrastructure included in the Service Order;</w:t>
      </w:r>
    </w:p>
    <w:p>
      <w:pPr>
        <w:spacing w:after="60"/>
      </w:pPr>
      <w:r>
        <w:rPr>
          <w:rFonts w:ascii="Open Sans" w:hAnsi="Open Sans"/>
          <w:b/>
          <w:i w:val="0"/>
          <w:color w:val="006DB6"/>
          <w:sz w:val="20"/>
        </w:rPr>
        <w:t xml:space="preserve">(b) </w:t>
      </w:r>
      <w:r>
        <w:rPr>
          <w:rFonts w:ascii="Open Sans" w:hAnsi="Open Sans"/>
          <w:b w:val="0"/>
          <w:i w:val="0"/>
          <w:color w:val="59595B"/>
          <w:sz w:val="20"/>
        </w:rPr>
        <w:t>Monthly service reports summarizing uptime, incidents, and support activity; and</w:t>
      </w:r>
    </w:p>
    <w:p>
      <w:pPr>
        <w:spacing w:after="60"/>
      </w:pPr>
      <w:r>
        <w:rPr>
          <w:rFonts w:ascii="Open Sans" w:hAnsi="Open Sans"/>
          <w:b/>
          <w:i w:val="0"/>
          <w:color w:val="006DB6"/>
          <w:sz w:val="20"/>
        </w:rPr>
        <w:t xml:space="preserve">(c) </w:t>
      </w:r>
      <w:r>
        <w:rPr>
          <w:rFonts w:ascii="Open Sans" w:hAnsi="Open Sans"/>
          <w:b w:val="0"/>
          <w:i w:val="0"/>
          <w:color w:val="59595B"/>
          <w:sz w:val="20"/>
        </w:rPr>
        <w:t>Quarterly service reviews with Client’s designated representative.</w:t>
      </w:r>
    </w:p>
    <w:p>
      <w:pPr>
        <w:spacing w:after="60"/>
      </w:pPr>
      <w:r>
        <w:rPr>
          <w:rFonts w:ascii="Open Sans" w:hAnsi="Open Sans"/>
          <w:b/>
          <w:i w:val="0"/>
          <w:color w:val="006DB6"/>
          <w:sz w:val="20"/>
        </w:rPr>
        <w:t xml:space="preserve">(d) </w:t>
      </w:r>
      <w:r>
        <w:rPr>
          <w:rFonts w:ascii="Open Sans" w:hAnsi="Open Sans"/>
          <w:b w:val="0"/>
          <w:i w:val="0"/>
          <w:color w:val="59595B"/>
          <w:sz w:val="20"/>
        </w:rPr>
        <w:t>Escalation Path. Support requests shall be escalated as follows: Tier 1 (initial response) — assigned technician; Tier 2 (within 4 hours if unresolved) — senior engineer or team lead; Tier 3 (within 8 hours if unresolved) — department manager or CTO Advisory.</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PART 2 — SIP TRUNK SERVICES</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2.1 Description</w:t>
            </w:r>
          </w:p>
        </w:tc>
      </w:tr>
    </w:tbl>
    <w:p>
      <w:pPr>
        <w:spacing w:after="120"/>
      </w:pPr>
      <w:r>
        <w:rPr>
          <w:rFonts w:ascii="Open Sans" w:hAnsi="Open Sans"/>
          <w:b w:val="0"/>
          <w:i w:val="0"/>
          <w:color w:val="59595B"/>
          <w:sz w:val="20"/>
        </w:rPr>
        <w:t>SIP Trunk Services include voice-over-IP telephony, SIP trunking, and related telecommunications services.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2.2 Service Components</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4680"/>
        <w:gridCol w:w="4680"/>
      </w:tblGrid>
      <w:tr>
        <w:tc>
          <w:tcPr>
            <w:tcW w:type="dxa" w:w="4680"/>
            <w:shd w:fill="006DB6" w:val="clear"/>
          </w:tcPr>
          <w:p>
            <w:r/>
            <w:r>
              <w:rPr>
                <w:rFonts w:ascii="Open Sans" w:hAnsi="Open Sans"/>
                <w:b/>
                <w:i w:val="0"/>
                <w:color w:val="FFFFFF"/>
                <w:sz w:val="18"/>
              </w:rPr>
              <w:t>Component</w:t>
            </w:r>
          </w:p>
        </w:tc>
        <w:tc>
          <w:tcPr>
            <w:tcW w:type="dxa" w:w="4680"/>
            <w:shd w:fill="006DB6" w:val="clear"/>
          </w:tcPr>
          <w:p>
            <w:r/>
            <w:r>
              <w:rPr>
                <w:rFonts w:ascii="Open Sans" w:hAnsi="Open Sans"/>
                <w:b/>
                <w:i w:val="0"/>
                <w:color w:val="FFFFFF"/>
                <w:sz w:val="18"/>
              </w:rPr>
              <w:t>Description</w:t>
            </w:r>
          </w:p>
        </w:tc>
      </w:tr>
      <w:tr>
        <w:tc>
          <w:tcPr>
            <w:tcW w:type="dxa" w:w="4680"/>
          </w:tcPr>
          <w:p>
            <w:r/>
            <w:r>
              <w:rPr>
                <w:rFonts w:ascii="Open Sans" w:hAnsi="Open Sans"/>
                <w:b w:val="0"/>
                <w:i w:val="0"/>
                <w:color w:val="59595B"/>
                <w:sz w:val="18"/>
              </w:rPr>
              <w:t>SIP Trunk</w:t>
            </w:r>
          </w:p>
        </w:tc>
        <w:tc>
          <w:tcPr>
            <w:tcW w:type="dxa" w:w="4680"/>
          </w:tcPr>
          <w:p>
            <w:r/>
            <w:r>
              <w:rPr>
                <w:rFonts w:ascii="Open Sans" w:hAnsi="Open Sans"/>
                <w:b w:val="0"/>
                <w:i w:val="0"/>
                <w:color w:val="59595B"/>
                <w:sz w:val="18"/>
              </w:rPr>
              <w:t>Primary voice connectivity with failover</w:t>
            </w:r>
          </w:p>
        </w:tc>
      </w:tr>
      <w:tr>
        <w:tc>
          <w:tcPr>
            <w:tcW w:type="dxa" w:w="4680"/>
          </w:tcPr>
          <w:p>
            <w:r/>
            <w:r>
              <w:rPr>
                <w:rFonts w:ascii="Open Sans" w:hAnsi="Open Sans"/>
                <w:b w:val="0"/>
                <w:i w:val="0"/>
                <w:color w:val="59595B"/>
                <w:sz w:val="18"/>
              </w:rPr>
              <w:t>Voice Package</w:t>
            </w:r>
          </w:p>
        </w:tc>
        <w:tc>
          <w:tcPr>
            <w:tcW w:type="dxa" w:w="4680"/>
          </w:tcPr>
          <w:p>
            <w:r/>
            <w:r>
              <w:rPr>
                <w:rFonts w:ascii="Open Sans" w:hAnsi="Open Sans"/>
                <w:b w:val="0"/>
                <w:i w:val="0"/>
                <w:color w:val="59595B"/>
                <w:sz w:val="18"/>
              </w:rPr>
              <w:t>Bundled calling plans (domestic, long distance)</w:t>
            </w:r>
          </w:p>
        </w:tc>
      </w:tr>
      <w:tr>
        <w:tc>
          <w:tcPr>
            <w:tcW w:type="dxa" w:w="4680"/>
          </w:tcPr>
          <w:p>
            <w:r/>
            <w:r>
              <w:rPr>
                <w:rFonts w:ascii="Open Sans" w:hAnsi="Open Sans"/>
                <w:b w:val="0"/>
                <w:i w:val="0"/>
                <w:color w:val="59595B"/>
                <w:sz w:val="18"/>
              </w:rPr>
              <w:t>DID Numbers</w:t>
            </w:r>
          </w:p>
        </w:tc>
        <w:tc>
          <w:tcPr>
            <w:tcW w:type="dxa" w:w="4680"/>
          </w:tcPr>
          <w:p>
            <w:r/>
            <w:r>
              <w:rPr>
                <w:rFonts w:ascii="Open Sans" w:hAnsi="Open Sans"/>
                <w:b w:val="0"/>
                <w:i w:val="0"/>
                <w:color w:val="59595B"/>
                <w:sz w:val="18"/>
              </w:rPr>
              <w:t>Direct inward dialing numbers</w:t>
            </w:r>
          </w:p>
        </w:tc>
      </w:tr>
      <w:tr>
        <w:tc>
          <w:tcPr>
            <w:tcW w:type="dxa" w:w="4680"/>
          </w:tcPr>
          <w:p>
            <w:r/>
            <w:r>
              <w:rPr>
                <w:rFonts w:ascii="Open Sans" w:hAnsi="Open Sans"/>
                <w:b w:val="0"/>
                <w:i w:val="0"/>
                <w:color w:val="59595B"/>
                <w:sz w:val="18"/>
              </w:rPr>
              <w:t>E911</w:t>
            </w:r>
          </w:p>
        </w:tc>
        <w:tc>
          <w:tcPr>
            <w:tcW w:type="dxa" w:w="4680"/>
          </w:tcPr>
          <w:p>
            <w:r/>
            <w:r>
              <w:rPr>
                <w:rFonts w:ascii="Open Sans" w:hAnsi="Open Sans"/>
                <w:b w:val="0"/>
                <w:i w:val="0"/>
                <w:color w:val="59595B"/>
                <w:sz w:val="18"/>
              </w:rPr>
              <w:t>Emergency services routing</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2.3 Service Levels</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4680"/>
        <w:gridCol w:w="4680"/>
      </w:tblGrid>
      <w:tr>
        <w:tc>
          <w:tcPr>
            <w:tcW w:type="dxa" w:w="4680"/>
            <w:shd w:fill="006DB6" w:val="clear"/>
          </w:tcPr>
          <w:p>
            <w:r/>
            <w:r>
              <w:rPr>
                <w:rFonts w:ascii="Open Sans" w:hAnsi="Open Sans"/>
                <w:b/>
                <w:i w:val="0"/>
                <w:color w:val="FFFFFF"/>
                <w:sz w:val="18"/>
              </w:rPr>
              <w:t>Service Level</w:t>
            </w:r>
          </w:p>
        </w:tc>
        <w:tc>
          <w:tcPr>
            <w:tcW w:type="dxa" w:w="4680"/>
            <w:shd w:fill="006DB6" w:val="clear"/>
          </w:tcPr>
          <w:p>
            <w:r/>
            <w:r>
              <w:rPr>
                <w:rFonts w:ascii="Open Sans" w:hAnsi="Open Sans"/>
                <w:b/>
                <w:i w:val="0"/>
                <w:color w:val="FFFFFF"/>
                <w:sz w:val="18"/>
              </w:rPr>
              <w:t>Target</w:t>
            </w:r>
          </w:p>
        </w:tc>
      </w:tr>
      <w:tr>
        <w:tc>
          <w:tcPr>
            <w:tcW w:type="dxa" w:w="4680"/>
          </w:tcPr>
          <w:p>
            <w:r/>
            <w:r>
              <w:rPr>
                <w:rFonts w:ascii="Open Sans" w:hAnsi="Open Sans"/>
                <w:b w:val="0"/>
                <w:i w:val="0"/>
                <w:color w:val="59595B"/>
                <w:sz w:val="18"/>
              </w:rPr>
              <w:t>Voice Uptime</w:t>
            </w:r>
          </w:p>
        </w:tc>
        <w:tc>
          <w:tcPr>
            <w:tcW w:type="dxa" w:w="4680"/>
          </w:tcPr>
          <w:p>
            <w:r/>
            <w:r>
              <w:rPr>
                <w:rFonts w:ascii="Open Sans" w:hAnsi="Open Sans"/>
                <w:b w:val="0"/>
                <w:i w:val="0"/>
                <w:color w:val="59595B"/>
                <w:sz w:val="18"/>
              </w:rPr>
              <w:t>99.9% monthly</w:t>
            </w:r>
          </w:p>
        </w:tc>
      </w:tr>
      <w:tr>
        <w:tc>
          <w:tcPr>
            <w:tcW w:type="dxa" w:w="4680"/>
          </w:tcPr>
          <w:p>
            <w:r/>
            <w:r>
              <w:rPr>
                <w:rFonts w:ascii="Open Sans" w:hAnsi="Open Sans"/>
                <w:b w:val="0"/>
                <w:i w:val="0"/>
                <w:color w:val="59595B"/>
                <w:sz w:val="18"/>
              </w:rPr>
              <w:t>Call Quality (MOS)</w:t>
            </w:r>
          </w:p>
        </w:tc>
        <w:tc>
          <w:tcPr>
            <w:tcW w:type="dxa" w:w="4680"/>
          </w:tcPr>
          <w:p>
            <w:r/>
            <w:r>
              <w:rPr>
                <w:rFonts w:ascii="Open Sans" w:hAnsi="Open Sans"/>
                <w:b w:val="0"/>
                <w:i w:val="0"/>
                <w:color w:val="59595B"/>
                <w:sz w:val="18"/>
              </w:rPr>
              <w:t>4.0 or higher</w:t>
            </w:r>
          </w:p>
        </w:tc>
      </w:tr>
      <w:tr>
        <w:tc>
          <w:tcPr>
            <w:tcW w:type="dxa" w:w="4680"/>
          </w:tcPr>
          <w:p>
            <w:r/>
            <w:r>
              <w:rPr>
                <w:rFonts w:ascii="Open Sans" w:hAnsi="Open Sans"/>
                <w:b w:val="0"/>
                <w:i w:val="0"/>
                <w:color w:val="59595B"/>
                <w:sz w:val="18"/>
              </w:rPr>
              <w:t>Number Porting</w:t>
            </w:r>
          </w:p>
        </w:tc>
        <w:tc>
          <w:tcPr>
            <w:tcW w:type="dxa" w:w="4680"/>
          </w:tcPr>
          <w:p>
            <w:r/>
            <w:r>
              <w:rPr>
                <w:rFonts w:ascii="Open Sans" w:hAnsi="Open Sans"/>
                <w:b w:val="0"/>
                <w:i w:val="0"/>
                <w:color w:val="59595B"/>
                <w:sz w:val="18"/>
              </w:rPr>
              <w:t>Completed within 10 business days of request</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2.4 SIP Trunk Service Level Remedies</w:t>
            </w:r>
          </w:p>
        </w:tc>
      </w:tr>
    </w:tbl>
    <w:p>
      <w:pPr>
        <w:spacing w:after="120"/>
      </w:pPr>
      <w:r>
        <w:rPr>
          <w:rFonts w:ascii="Open Sans" w:hAnsi="Open Sans"/>
          <w:b w:val="0"/>
          <w:i w:val="0"/>
          <w:color w:val="59595B"/>
          <w:sz w:val="20"/>
        </w:rPr>
        <w:t>The service level remedies set forth in Section 1.4a (Service Credits, Chronic Failure, Credit Requests, Exclusions, and Sole Remedy) shall apply equally to SIP Trunk Service Levels, with "Voice Uptime" substituted for "Infrastructure Uptime" where applicable.</w:t>
      </w:r>
    </w:p>
    <w:p>
      <w:pPr>
        <w:spacing w:after="80"/>
      </w:pPr>
      <w:r>
        <w:rPr>
          <w:rFonts w:ascii="Open Sans" w:hAnsi="Open Sans"/>
          <w:b w:val="0"/>
          <w:i w:val="0"/>
          <w:color w:val="59595B"/>
          <w:sz w:val="20"/>
        </w:rPr>
        <w:t>Note: SIP Trunk Services are not included in the current Service Order. This section is included for reference should Client elect to add SIP Trunk Services in the future.</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PART 3 — VIRTUAL STAFF (CONTRACTED SUPPORT)</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3.1 Description</w:t>
            </w:r>
          </w:p>
        </w:tc>
      </w:tr>
    </w:tbl>
    <w:p>
      <w:pPr>
        <w:spacing w:after="120"/>
      </w:pPr>
      <w:r>
        <w:rPr>
          <w:rFonts w:ascii="Open Sans" w:hAnsi="Open Sans"/>
          <w:b w:val="0"/>
          <w:i w:val="0"/>
          <w:color w:val="59595B"/>
          <w:sz w:val="20"/>
        </w:rPr>
        <w:t>Virtual Staff services provide Client with dedicated technology support personnel on a contracted basis. This service operates on a cycle-based billing model as described below.</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3.2 Support Roles</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560"/>
        <w:gridCol w:w="1560"/>
        <w:gridCol w:w="1560"/>
        <w:gridCol w:w="1560"/>
        <w:gridCol w:w="1560"/>
        <w:gridCol w:w="1560"/>
      </w:tblGrid>
      <w:tr>
        <w:tc>
          <w:tcPr>
            <w:tcW w:type="dxa" w:w="1560"/>
            <w:shd w:fill="006DB6" w:val="clear"/>
          </w:tcPr>
          <w:p>
            <w:r/>
            <w:r>
              <w:rPr>
                <w:rFonts w:ascii="Open Sans" w:hAnsi="Open Sans"/>
                <w:b/>
                <w:i w:val="0"/>
                <w:color w:val="FFFFFF"/>
                <w:sz w:val="18"/>
              </w:rPr>
              <w:t>Role</w:t>
            </w:r>
          </w:p>
        </w:tc>
        <w:tc>
          <w:tcPr>
            <w:tcW w:type="dxa" w:w="1560"/>
            <w:shd w:fill="006DB6" w:val="clear"/>
          </w:tcPr>
          <w:p>
            <w:r/>
            <w:r>
              <w:rPr>
                <w:rFonts w:ascii="Open Sans" w:hAnsi="Open Sans"/>
                <w:b/>
                <w:i w:val="0"/>
                <w:color w:val="FFFFFF"/>
                <w:sz w:val="18"/>
              </w:rPr>
              <w:t>Location</w:t>
            </w:r>
          </w:p>
        </w:tc>
        <w:tc>
          <w:tcPr>
            <w:tcW w:type="dxa" w:w="1560"/>
            <w:shd w:fill="006DB6" w:val="clear"/>
          </w:tcPr>
          <w:p>
            <w:r/>
            <w:r>
              <w:rPr>
                <w:rFonts w:ascii="Open Sans" w:hAnsi="Open Sans"/>
                <w:b/>
                <w:i w:val="0"/>
                <w:color w:val="FFFFFF"/>
                <w:sz w:val="18"/>
              </w:rPr>
              <w:t>Hours</w:t>
            </w:r>
          </w:p>
        </w:tc>
        <w:tc>
          <w:tcPr>
            <w:tcW w:type="dxa" w:w="1560"/>
            <w:shd w:fill="006DB6" w:val="clear"/>
          </w:tcPr>
          <w:p>
            <w:r/>
            <w:r>
              <w:rPr>
                <w:rFonts w:ascii="Open Sans" w:hAnsi="Open Sans"/>
                <w:b/>
                <w:i w:val="0"/>
                <w:color w:val="FFFFFF"/>
                <w:sz w:val="18"/>
              </w:rPr>
              <w:t>Contracted Rate</w:t>
            </w:r>
          </w:p>
        </w:tc>
        <w:tc>
          <w:tcPr>
            <w:tcW w:type="dxa" w:w="1560"/>
            <w:shd w:fill="006DB6" w:val="clear"/>
          </w:tcPr>
          <w:p>
            <w:r/>
            <w:r>
              <w:rPr>
                <w:rFonts w:ascii="Open Sans" w:hAnsi="Open Sans"/>
                <w:b/>
                <w:i w:val="0"/>
                <w:color w:val="FFFFFF"/>
                <w:sz w:val="18"/>
              </w:rPr>
              <w:t>Hourly Rate</w:t>
            </w:r>
          </w:p>
        </w:tc>
        <w:tc>
          <w:tcPr>
            <w:tcW w:type="dxa" w:w="1560"/>
            <w:shd w:fill="006DB6" w:val="clear"/>
          </w:tcPr>
          <w:p>
            <w:r/>
            <w:r>
              <w:rPr>
                <w:rFonts w:ascii="Open Sans" w:hAnsi="Open Sans"/>
                <w:b/>
                <w:i w:val="0"/>
                <w:color w:val="FFFFFF"/>
                <w:sz w:val="18"/>
              </w:rPr>
              <w:t>After-Hours Rate</w:t>
            </w:r>
          </w:p>
        </w:tc>
      </w:tr>
      <w:tr>
        <w:tc>
          <w:tcPr>
            <w:tcW w:type="dxa" w:w="1560"/>
          </w:tcPr>
          <w:p>
            <w:r/>
            <w:r>
              <w:rPr>
                <w:rFonts w:ascii="Open Sans" w:hAnsi="Open Sans"/>
                <w:b w:val="0"/>
                <w:i w:val="0"/>
                <w:color w:val="59595B"/>
                <w:sz w:val="18"/>
              </w:rPr>
              <w:t>CTO Advisory</w:t>
            </w:r>
          </w:p>
        </w:tc>
        <w:tc>
          <w:tcPr>
            <w:tcW w:type="dxa" w:w="1560"/>
          </w:tcPr>
          <w:p>
            <w:r/>
            <w:r>
              <w:rPr>
                <w:rFonts w:ascii="Open Sans" w:hAnsi="Open Sans"/>
                <w:b w:val="0"/>
                <w:i w:val="0"/>
                <w:color w:val="59595B"/>
                <w:sz w:val="18"/>
              </w:rPr>
              <w:t>United States</w:t>
            </w:r>
          </w:p>
        </w:tc>
        <w:tc>
          <w:tcPr>
            <w:tcW w:type="dxa" w:w="1560"/>
          </w:tcPr>
          <w:p>
            <w:r/>
            <w:r>
              <w:rPr>
                <w:rFonts w:ascii="Open Sans" w:hAnsi="Open Sans"/>
                <w:b w:val="0"/>
                <w:i w:val="0"/>
                <w:color w:val="59595B"/>
                <w:sz w:val="18"/>
              </w:rPr>
              <w:t>Normal Business Hours</w:t>
            </w:r>
          </w:p>
        </w:tc>
        <w:tc>
          <w:tcPr>
            <w:tcW w:type="dxa" w:w="1560"/>
          </w:tcPr>
          <w:p>
            <w:r/>
            <w:r>
              <w:rPr>
                <w:rFonts w:ascii="Open Sans" w:hAnsi="Open Sans"/>
                <w:b w:val="0"/>
                <w:i w:val="0"/>
                <w:color w:val="59595B"/>
                <w:sz w:val="18"/>
              </w:rPr>
              <w:t>$225/hr</w:t>
            </w:r>
          </w:p>
        </w:tc>
        <w:tc>
          <w:tcPr>
            <w:tcW w:type="dxa" w:w="1560"/>
          </w:tcPr>
          <w:p>
            <w:r/>
            <w:r>
              <w:rPr>
                <w:rFonts w:ascii="Open Sans" w:hAnsi="Open Sans"/>
                <w:b w:val="0"/>
                <w:i w:val="0"/>
                <w:color w:val="59595B"/>
                <w:sz w:val="18"/>
              </w:rPr>
              <w:t>$250/hr</w:t>
            </w:r>
          </w:p>
        </w:tc>
        <w:tc>
          <w:tcPr>
            <w:tcW w:type="dxa" w:w="1560"/>
          </w:tcPr>
          <w:p>
            <w:r/>
            <w:r>
              <w:rPr>
                <w:rFonts w:ascii="Open Sans" w:hAnsi="Open Sans"/>
                <w:b w:val="0"/>
                <w:i w:val="0"/>
                <w:color w:val="59595B"/>
                <w:sz w:val="18"/>
              </w:rPr>
              <w:t>$350/hr</w:t>
            </w:r>
          </w:p>
        </w:tc>
      </w:tr>
      <w:tr>
        <w:tc>
          <w:tcPr>
            <w:tcW w:type="dxa" w:w="1560"/>
          </w:tcPr>
          <w:p>
            <w:r/>
            <w:r>
              <w:rPr>
                <w:rFonts w:ascii="Open Sans" w:hAnsi="Open Sans"/>
                <w:b w:val="0"/>
                <w:i w:val="0"/>
                <w:color w:val="59595B"/>
                <w:sz w:val="18"/>
              </w:rPr>
              <w:t>Developer</w:t>
            </w:r>
          </w:p>
        </w:tc>
        <w:tc>
          <w:tcPr>
            <w:tcW w:type="dxa" w:w="1560"/>
          </w:tcPr>
          <w:p>
            <w:r/>
            <w:r>
              <w:rPr>
                <w:rFonts w:ascii="Open Sans" w:hAnsi="Open Sans"/>
                <w:b w:val="0"/>
                <w:i w:val="0"/>
                <w:color w:val="59595B"/>
                <w:sz w:val="18"/>
              </w:rPr>
              <w:t>United States</w:t>
            </w:r>
          </w:p>
        </w:tc>
        <w:tc>
          <w:tcPr>
            <w:tcW w:type="dxa" w:w="1560"/>
          </w:tcPr>
          <w:p>
            <w:r/>
            <w:r>
              <w:rPr>
                <w:rFonts w:ascii="Open Sans" w:hAnsi="Open Sans"/>
                <w:b w:val="0"/>
                <w:i w:val="0"/>
                <w:color w:val="59595B"/>
                <w:sz w:val="18"/>
              </w:rPr>
              <w:t>Normal Business Hours</w:t>
            </w:r>
          </w:p>
        </w:tc>
        <w:tc>
          <w:tcPr>
            <w:tcW w:type="dxa" w:w="1560"/>
          </w:tcPr>
          <w:p>
            <w:r/>
            <w:r>
              <w:rPr>
                <w:rFonts w:ascii="Open Sans" w:hAnsi="Open Sans"/>
                <w:b w:val="0"/>
                <w:i w:val="0"/>
                <w:color w:val="59595B"/>
                <w:sz w:val="18"/>
              </w:rPr>
              <w:t>$125/hr</w:t>
            </w:r>
          </w:p>
        </w:tc>
        <w:tc>
          <w:tcPr>
            <w:tcW w:type="dxa" w:w="1560"/>
          </w:tcPr>
          <w:p>
            <w:r/>
            <w:r>
              <w:rPr>
                <w:rFonts w:ascii="Open Sans" w:hAnsi="Open Sans"/>
                <w:b w:val="0"/>
                <w:i w:val="0"/>
                <w:color w:val="59595B"/>
                <w:sz w:val="18"/>
              </w:rPr>
              <w:t>$150/hr</w:t>
            </w:r>
          </w:p>
        </w:tc>
        <w:tc>
          <w:tcPr>
            <w:tcW w:type="dxa" w:w="1560"/>
          </w:tcPr>
          <w:p>
            <w:r/>
            <w:r>
              <w:rPr>
                <w:rFonts w:ascii="Open Sans" w:hAnsi="Open Sans"/>
                <w:b w:val="0"/>
                <w:i w:val="0"/>
                <w:color w:val="59595B"/>
                <w:sz w:val="18"/>
              </w:rPr>
              <w:t>N/A</w:t>
            </w:r>
          </w:p>
        </w:tc>
      </w:tr>
      <w:tr>
        <w:tc>
          <w:tcPr>
            <w:tcW w:type="dxa" w:w="1560"/>
          </w:tcPr>
          <w:p>
            <w:r/>
            <w:r>
              <w:rPr>
                <w:rFonts w:ascii="Open Sans" w:hAnsi="Open Sans"/>
                <w:b w:val="0"/>
                <w:i w:val="0"/>
                <w:color w:val="59595B"/>
                <w:sz w:val="18"/>
              </w:rPr>
              <w:t>Tech Support</w:t>
            </w:r>
          </w:p>
        </w:tc>
        <w:tc>
          <w:tcPr>
            <w:tcW w:type="dxa" w:w="1560"/>
          </w:tcPr>
          <w:p>
            <w:r/>
            <w:r>
              <w:rPr>
                <w:rFonts w:ascii="Open Sans" w:hAnsi="Open Sans"/>
                <w:b w:val="0"/>
                <w:i w:val="0"/>
                <w:color w:val="59595B"/>
                <w:sz w:val="18"/>
              </w:rPr>
              <w:t>United States</w:t>
            </w:r>
          </w:p>
        </w:tc>
        <w:tc>
          <w:tcPr>
            <w:tcW w:type="dxa" w:w="1560"/>
          </w:tcPr>
          <w:p>
            <w:r/>
            <w:r>
              <w:rPr>
                <w:rFonts w:ascii="Open Sans" w:hAnsi="Open Sans"/>
                <w:b w:val="0"/>
                <w:i w:val="0"/>
                <w:color w:val="59595B"/>
                <w:sz w:val="18"/>
              </w:rPr>
              <w:t>Normal Business Hours</w:t>
            </w:r>
          </w:p>
        </w:tc>
        <w:tc>
          <w:tcPr>
            <w:tcW w:type="dxa" w:w="1560"/>
          </w:tcPr>
          <w:p>
            <w:r/>
            <w:r>
              <w:rPr>
                <w:rFonts w:ascii="Open Sans" w:hAnsi="Open Sans"/>
                <w:b w:val="0"/>
                <w:i w:val="0"/>
                <w:color w:val="59595B"/>
                <w:sz w:val="18"/>
              </w:rPr>
              <w:t>$125/hr</w:t>
            </w:r>
          </w:p>
        </w:tc>
        <w:tc>
          <w:tcPr>
            <w:tcW w:type="dxa" w:w="1560"/>
          </w:tcPr>
          <w:p>
            <w:r/>
            <w:r>
              <w:rPr>
                <w:rFonts w:ascii="Open Sans" w:hAnsi="Open Sans"/>
                <w:b w:val="0"/>
                <w:i w:val="0"/>
                <w:color w:val="59595B"/>
                <w:sz w:val="18"/>
              </w:rPr>
              <w:t>$150/hr</w:t>
            </w:r>
          </w:p>
        </w:tc>
        <w:tc>
          <w:tcPr>
            <w:tcW w:type="dxa" w:w="1560"/>
          </w:tcPr>
          <w:p>
            <w:r/>
            <w:r>
              <w:rPr>
                <w:rFonts w:ascii="Open Sans" w:hAnsi="Open Sans"/>
                <w:b w:val="0"/>
                <w:i w:val="0"/>
                <w:color w:val="59595B"/>
                <w:sz w:val="18"/>
              </w:rPr>
              <w:t>$250/hr</w:t>
            </w:r>
          </w:p>
        </w:tc>
      </w:tr>
      <w:tr>
        <w:tc>
          <w:tcPr>
            <w:tcW w:type="dxa" w:w="1560"/>
          </w:tcPr>
          <w:p>
            <w:r/>
            <w:r>
              <w:rPr>
                <w:rFonts w:ascii="Open Sans" w:hAnsi="Open Sans"/>
                <w:b w:val="0"/>
                <w:i w:val="0"/>
                <w:color w:val="59595B"/>
                <w:sz w:val="18"/>
              </w:rPr>
              <w:t>Developer</w:t>
            </w:r>
          </w:p>
        </w:tc>
        <w:tc>
          <w:tcPr>
            <w:tcW w:type="dxa" w:w="1560"/>
          </w:tcPr>
          <w:p>
            <w:r/>
            <w:r>
              <w:rPr>
                <w:rFonts w:ascii="Open Sans" w:hAnsi="Open Sans"/>
                <w:b w:val="0"/>
                <w:i w:val="0"/>
                <w:color w:val="59595B"/>
                <w:sz w:val="18"/>
              </w:rPr>
              <w:t>Offshore</w:t>
            </w:r>
          </w:p>
        </w:tc>
        <w:tc>
          <w:tcPr>
            <w:tcW w:type="dxa" w:w="1560"/>
          </w:tcPr>
          <w:p>
            <w:r/>
            <w:r>
              <w:rPr>
                <w:rFonts w:ascii="Open Sans" w:hAnsi="Open Sans"/>
                <w:b w:val="0"/>
                <w:i w:val="0"/>
                <w:color w:val="59595B"/>
                <w:sz w:val="18"/>
              </w:rPr>
              <w:t>US Business Hours</w:t>
            </w:r>
          </w:p>
        </w:tc>
        <w:tc>
          <w:tcPr>
            <w:tcW w:type="dxa" w:w="1560"/>
          </w:tcPr>
          <w:p>
            <w:r/>
            <w:r>
              <w:rPr>
                <w:rFonts w:ascii="Open Sans" w:hAnsi="Open Sans"/>
                <w:b w:val="0"/>
                <w:i w:val="0"/>
                <w:color w:val="59595B"/>
                <w:sz w:val="18"/>
              </w:rPr>
              <w:t>$30/hr</w:t>
            </w:r>
          </w:p>
        </w:tc>
        <w:tc>
          <w:tcPr>
            <w:tcW w:type="dxa" w:w="1560"/>
          </w:tcPr>
          <w:p>
            <w:r/>
            <w:r>
              <w:rPr>
                <w:rFonts w:ascii="Open Sans" w:hAnsi="Open Sans"/>
                <w:b w:val="0"/>
                <w:i w:val="0"/>
                <w:color w:val="59595B"/>
                <w:sz w:val="18"/>
              </w:rPr>
              <w:t>$45/hr</w:t>
            </w:r>
          </w:p>
        </w:tc>
        <w:tc>
          <w:tcPr>
            <w:tcW w:type="dxa" w:w="1560"/>
          </w:tcPr>
          <w:p>
            <w:r/>
            <w:r>
              <w:rPr>
                <w:rFonts w:ascii="Open Sans" w:hAnsi="Open Sans"/>
                <w:b w:val="0"/>
                <w:i w:val="0"/>
                <w:color w:val="59595B"/>
                <w:sz w:val="18"/>
              </w:rPr>
              <w:t>N/A</w:t>
            </w:r>
          </w:p>
        </w:tc>
      </w:tr>
      <w:tr>
        <w:tc>
          <w:tcPr>
            <w:tcW w:type="dxa" w:w="1560"/>
          </w:tcPr>
          <w:p>
            <w:r/>
            <w:r>
              <w:rPr>
                <w:rFonts w:ascii="Open Sans" w:hAnsi="Open Sans"/>
                <w:b w:val="0"/>
                <w:i w:val="0"/>
                <w:color w:val="59595B"/>
                <w:sz w:val="18"/>
              </w:rPr>
              <w:t>SEO Specialist</w:t>
            </w:r>
          </w:p>
        </w:tc>
        <w:tc>
          <w:tcPr>
            <w:tcW w:type="dxa" w:w="1560"/>
          </w:tcPr>
          <w:p>
            <w:r/>
            <w:r>
              <w:rPr>
                <w:rFonts w:ascii="Open Sans" w:hAnsi="Open Sans"/>
                <w:b w:val="0"/>
                <w:i w:val="0"/>
                <w:color w:val="59595B"/>
                <w:sz w:val="18"/>
              </w:rPr>
              <w:t>Offshore</w:t>
            </w:r>
          </w:p>
        </w:tc>
        <w:tc>
          <w:tcPr>
            <w:tcW w:type="dxa" w:w="1560"/>
          </w:tcPr>
          <w:p>
            <w:r/>
            <w:r>
              <w:rPr>
                <w:rFonts w:ascii="Open Sans" w:hAnsi="Open Sans"/>
                <w:b w:val="0"/>
                <w:i w:val="0"/>
                <w:color w:val="59595B"/>
                <w:sz w:val="18"/>
              </w:rPr>
              <w:t>US Business Hours</w:t>
            </w:r>
          </w:p>
        </w:tc>
        <w:tc>
          <w:tcPr>
            <w:tcW w:type="dxa" w:w="1560"/>
          </w:tcPr>
          <w:p>
            <w:r/>
            <w:r>
              <w:rPr>
                <w:rFonts w:ascii="Open Sans" w:hAnsi="Open Sans"/>
                <w:b w:val="0"/>
                <w:i w:val="0"/>
                <w:color w:val="59595B"/>
                <w:sz w:val="18"/>
              </w:rPr>
              <w:t>$30/hr</w:t>
            </w:r>
          </w:p>
        </w:tc>
        <w:tc>
          <w:tcPr>
            <w:tcW w:type="dxa" w:w="1560"/>
          </w:tcPr>
          <w:p>
            <w:r/>
            <w:r>
              <w:rPr>
                <w:rFonts w:ascii="Open Sans" w:hAnsi="Open Sans"/>
                <w:b w:val="0"/>
                <w:i w:val="0"/>
                <w:color w:val="59595B"/>
                <w:sz w:val="18"/>
              </w:rPr>
              <w:t>$45/hr</w:t>
            </w:r>
          </w:p>
        </w:tc>
        <w:tc>
          <w:tcPr>
            <w:tcW w:type="dxa" w:w="1560"/>
          </w:tcPr>
          <w:p>
            <w:r/>
            <w:r>
              <w:rPr>
                <w:rFonts w:ascii="Open Sans" w:hAnsi="Open Sans"/>
                <w:b w:val="0"/>
                <w:i w:val="0"/>
                <w:color w:val="59595B"/>
                <w:sz w:val="18"/>
              </w:rPr>
              <w:t>N/A</w:t>
            </w:r>
          </w:p>
        </w:tc>
      </w:tr>
      <w:tr>
        <w:tc>
          <w:tcPr>
            <w:tcW w:type="dxa" w:w="1560"/>
          </w:tcPr>
          <w:p>
            <w:r/>
            <w:r>
              <w:rPr>
                <w:rFonts w:ascii="Open Sans" w:hAnsi="Open Sans"/>
                <w:b w:val="0"/>
                <w:i w:val="0"/>
                <w:color w:val="59595B"/>
                <w:sz w:val="18"/>
              </w:rPr>
              <w:t>Tech Support</w:t>
            </w:r>
          </w:p>
        </w:tc>
        <w:tc>
          <w:tcPr>
            <w:tcW w:type="dxa" w:w="1560"/>
          </w:tcPr>
          <w:p>
            <w:r/>
            <w:r>
              <w:rPr>
                <w:rFonts w:ascii="Open Sans" w:hAnsi="Open Sans"/>
                <w:b w:val="0"/>
                <w:i w:val="0"/>
                <w:color w:val="59595B"/>
                <w:sz w:val="18"/>
              </w:rPr>
              <w:t>Offshore</w:t>
            </w:r>
          </w:p>
        </w:tc>
        <w:tc>
          <w:tcPr>
            <w:tcW w:type="dxa" w:w="1560"/>
          </w:tcPr>
          <w:p>
            <w:r/>
            <w:r>
              <w:rPr>
                <w:rFonts w:ascii="Open Sans" w:hAnsi="Open Sans"/>
                <w:b w:val="0"/>
                <w:i w:val="0"/>
                <w:color w:val="59595B"/>
                <w:sz w:val="18"/>
              </w:rPr>
              <w:t>US Business / After-Hours</w:t>
            </w:r>
          </w:p>
        </w:tc>
        <w:tc>
          <w:tcPr>
            <w:tcW w:type="dxa" w:w="1560"/>
          </w:tcPr>
          <w:p>
            <w:r/>
            <w:r>
              <w:rPr>
                <w:rFonts w:ascii="Open Sans" w:hAnsi="Open Sans"/>
                <w:b w:val="0"/>
                <w:i w:val="0"/>
                <w:color w:val="59595B"/>
                <w:sz w:val="18"/>
              </w:rPr>
              <w:t>$10/hr</w:t>
            </w:r>
          </w:p>
        </w:tc>
        <w:tc>
          <w:tcPr>
            <w:tcW w:type="dxa" w:w="1560"/>
          </w:tcPr>
          <w:p>
            <w:r/>
            <w:r>
              <w:rPr>
                <w:rFonts w:ascii="Open Sans" w:hAnsi="Open Sans"/>
                <w:b w:val="0"/>
                <w:i w:val="0"/>
                <w:color w:val="59595B"/>
                <w:sz w:val="18"/>
              </w:rPr>
              <w:t>$15/hr</w:t>
            </w:r>
          </w:p>
        </w:tc>
        <w:tc>
          <w:tcPr>
            <w:tcW w:type="dxa" w:w="1560"/>
          </w:tcPr>
          <w:p>
            <w:r/>
            <w:r>
              <w:rPr>
                <w:rFonts w:ascii="Open Sans" w:hAnsi="Open Sans"/>
                <w:b w:val="0"/>
                <w:i w:val="0"/>
                <w:color w:val="59595B"/>
                <w:sz w:val="18"/>
              </w:rPr>
              <w:t>$30/hr</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3.3 Cycle-Based Billing Model</w:t>
            </w:r>
          </w:p>
        </w:tc>
      </w:tr>
    </w:tbl>
    <w:p>
      <w:pPr>
        <w:spacing w:after="60"/>
      </w:pPr>
      <w:r>
        <w:rPr>
          <w:rFonts w:ascii="Open Sans" w:hAnsi="Open Sans"/>
          <w:b/>
          <w:i w:val="0"/>
          <w:color w:val="006DB6"/>
          <w:sz w:val="20"/>
        </w:rPr>
        <w:t xml:space="preserve">(a) </w:t>
      </w:r>
      <w:r>
        <w:rPr>
          <w:rFonts w:ascii="Open Sans" w:hAnsi="Open Sans"/>
          <w:b w:val="0"/>
          <w:i w:val="0"/>
          <w:color w:val="59595B"/>
          <w:sz w:val="20"/>
        </w:rPr>
        <w:t>Billing Cycle. Client selects a billing cycle of 3, 6, or 12 months (the “Cycle”). The purpose of the Cycle is to provide Client with a structured path to eliminate any unpaid hour balance by the end of each Cycle, thereby avoiding cancellation fees.</w:t>
      </w:r>
    </w:p>
    <w:p>
      <w:pPr>
        <w:spacing w:after="60"/>
      </w:pPr>
      <w:r>
        <w:rPr>
          <w:rFonts w:ascii="Open Sans" w:hAnsi="Open Sans"/>
          <w:b/>
          <w:i w:val="0"/>
          <w:color w:val="006DB6"/>
          <w:sz w:val="20"/>
        </w:rPr>
        <w:t xml:space="preserve">(b) </w:t>
      </w:r>
      <w:r>
        <w:rPr>
          <w:rFonts w:ascii="Open Sans" w:hAnsi="Open Sans"/>
          <w:b w:val="0"/>
          <w:i w:val="0"/>
          <w:color w:val="59595B"/>
          <w:sz w:val="20"/>
        </w:rPr>
        <w:t>Monthly Billed Amount Calculation. The fixed monthly billing rate for each role is calculated as follows:</w:t>
      </w:r>
    </w:p>
    <w:p>
      <w:pPr>
        <w:spacing w:after="60"/>
      </w:pPr>
      <w:r>
        <w:rPr>
          <w:rFonts w:ascii="Open Sans" w:hAnsi="Open Sans"/>
          <w:b/>
          <w:i w:val="0"/>
          <w:color w:val="006DB6"/>
          <w:sz w:val="20"/>
        </w:rPr>
        <w:t xml:space="preserve">    1. </w:t>
      </w:r>
      <w:r>
        <w:rPr>
          <w:rFonts w:ascii="Open Sans" w:hAnsi="Open Sans"/>
          <w:b w:val="0"/>
          <w:i w:val="0"/>
          <w:color w:val="59595B"/>
          <w:sz w:val="20"/>
        </w:rPr>
        <w:t>At the start of each new Cycle, Technijian calculates the average monthly hours consumed per role during the previous Cycle, excluding the final month of that Cycle.</w:t>
      </w:r>
    </w:p>
    <w:p>
      <w:pPr>
        <w:spacing w:after="60"/>
      </w:pPr>
      <w:r>
        <w:rPr>
          <w:rFonts w:ascii="Open Sans" w:hAnsi="Open Sans"/>
          <w:b/>
          <w:i w:val="0"/>
          <w:color w:val="006DB6"/>
          <w:sz w:val="20"/>
        </w:rPr>
        <w:t xml:space="preserve">    2. </w:t>
      </w:r>
      <w:r>
        <w:rPr>
          <w:rFonts w:ascii="Open Sans" w:hAnsi="Open Sans"/>
          <w:b w:val="0"/>
          <w:i w:val="0"/>
          <w:color w:val="59595B"/>
          <w:sz w:val="20"/>
        </w:rPr>
        <w:t>This average is then adjusted to account for any unpaid hour balance carried forward from the previous Cycle, so that the new monthly billed amount is set at a level designed to bring the unpaid balance to zero by the end of the current Cycle.</w:t>
      </w:r>
    </w:p>
    <w:p>
      <w:pPr>
        <w:spacing w:after="60"/>
      </w:pPr>
      <w:r>
        <w:rPr>
          <w:rFonts w:ascii="Open Sans" w:hAnsi="Open Sans"/>
          <w:b/>
          <w:i w:val="0"/>
          <w:color w:val="006DB6"/>
          <w:sz w:val="20"/>
        </w:rPr>
        <w:t xml:space="preserve">    3. </w:t>
      </w:r>
      <w:r>
        <w:rPr>
          <w:rFonts w:ascii="Open Sans" w:hAnsi="Open Sans"/>
          <w:b w:val="0"/>
          <w:i w:val="0"/>
          <w:color w:val="59595B"/>
          <w:sz w:val="20"/>
        </w:rPr>
        <w:t>The monthly billed amount for each role equals the adjusted monthly billed hours multiplied by the applicable Contracted Rate from the Rate Card (Schedule C).</w:t>
      </w:r>
    </w:p>
    <w:p>
      <w:pPr>
        <w:spacing w:after="60"/>
      </w:pPr>
      <w:r>
        <w:rPr>
          <w:rFonts w:ascii="Open Sans" w:hAnsi="Open Sans"/>
          <w:b/>
          <w:i w:val="0"/>
          <w:color w:val="006DB6"/>
          <w:sz w:val="20"/>
        </w:rPr>
        <w:t xml:space="preserve">(c) </w:t>
      </w:r>
      <w:r>
        <w:rPr>
          <w:rFonts w:ascii="Open Sans" w:hAnsi="Open Sans"/>
          <w:b w:val="0"/>
          <w:i w:val="0"/>
          <w:color w:val="59595B"/>
          <w:sz w:val="20"/>
        </w:rPr>
        <w:t>Running Balance. Technijian maintains a running balance for each role:</w:t>
      </w:r>
    </w:p>
    <w:p>
      <w:pPr>
        <w:spacing w:after="60"/>
      </w:pPr>
      <w:r>
        <w:rPr>
          <w:rFonts w:ascii="Open Sans" w:hAnsi="Open Sans"/>
          <w:b/>
          <w:i w:val="0"/>
          <w:color w:val="006DB6"/>
          <w:sz w:val="20"/>
        </w:rPr>
        <w:t xml:space="preserve">    1. </w:t>
      </w:r>
      <w:r>
        <w:rPr>
          <w:rFonts w:ascii="Open Sans" w:hAnsi="Open Sans"/>
          <w:b w:val="0"/>
          <w:i w:val="0"/>
          <w:color w:val="59595B"/>
          <w:sz w:val="20"/>
        </w:rPr>
        <w:t>At the start of each month, the running balance is adjusted by adding the actual hours used during the previous month and subtracting the monthly billed hours for that month.</w:t>
      </w:r>
    </w:p>
    <w:p>
      <w:pPr>
        <w:spacing w:after="60"/>
      </w:pPr>
      <w:r>
        <w:rPr>
          <w:rFonts w:ascii="Open Sans" w:hAnsi="Open Sans"/>
          <w:b/>
          <w:i w:val="0"/>
          <w:color w:val="006DB6"/>
          <w:sz w:val="20"/>
        </w:rPr>
        <w:t xml:space="preserve">    2. </w:t>
      </w:r>
      <w:r>
        <w:rPr>
          <w:rFonts w:ascii="Open Sans" w:hAnsi="Open Sans"/>
          <w:b w:val="0"/>
          <w:i w:val="0"/>
          <w:color w:val="59595B"/>
          <w:sz w:val="20"/>
        </w:rPr>
        <w:t>A positive running balance indicates hours consumed in excess of billed amounts (an unpaid hour balance that the Cycle is designed to resolve).</w:t>
      </w:r>
    </w:p>
    <w:p>
      <w:pPr>
        <w:spacing w:after="60"/>
      </w:pPr>
      <w:r>
        <w:rPr>
          <w:rFonts w:ascii="Open Sans" w:hAnsi="Open Sans"/>
          <w:b/>
          <w:i w:val="0"/>
          <w:color w:val="006DB6"/>
          <w:sz w:val="20"/>
        </w:rPr>
        <w:t xml:space="preserve">    3. </w:t>
      </w:r>
      <w:r>
        <w:rPr>
          <w:rFonts w:ascii="Open Sans" w:hAnsi="Open Sans"/>
          <w:b w:val="0"/>
          <w:i w:val="0"/>
          <w:color w:val="59595B"/>
          <w:sz w:val="20"/>
        </w:rPr>
        <w:t>A negative running balance indicates hours billed in excess of consumption. A negative balance does not entitle Client to a credit or refund; it simply means Client has no unpaid hour balance (the unpaid balance is zero). The underlying usage data from months producing a negative balance is used in calculating the average for the next Cycle per Section 3.3(b).</w:t>
      </w:r>
    </w:p>
    <w:p>
      <w:pPr>
        <w:spacing w:after="60"/>
      </w:pPr>
      <w:r>
        <w:rPr>
          <w:rFonts w:ascii="Open Sans" w:hAnsi="Open Sans"/>
          <w:b/>
          <w:i w:val="0"/>
          <w:color w:val="006DB6"/>
          <w:sz w:val="20"/>
        </w:rPr>
        <w:t xml:space="preserve">(d) </w:t>
      </w:r>
      <w:r>
        <w:rPr>
          <w:rFonts w:ascii="Open Sans" w:hAnsi="Open Sans"/>
          <w:b w:val="0"/>
          <w:i w:val="0"/>
          <w:color w:val="59595B"/>
          <w:sz w:val="20"/>
        </w:rPr>
        <w:t>Cycle Reconciliation. At the end of each Cycle:</w:t>
      </w:r>
    </w:p>
    <w:p>
      <w:pPr>
        <w:spacing w:after="60"/>
      </w:pPr>
      <w:r>
        <w:rPr>
          <w:rFonts w:ascii="Open Sans" w:hAnsi="Open Sans"/>
          <w:b/>
          <w:i w:val="0"/>
          <w:color w:val="006DB6"/>
          <w:sz w:val="20"/>
        </w:rPr>
        <w:t xml:space="preserve">    1. </w:t>
      </w:r>
      <w:r>
        <w:rPr>
          <w:rFonts w:ascii="Open Sans" w:hAnsi="Open Sans"/>
          <w:b w:val="0"/>
          <w:i w:val="0"/>
          <w:color w:val="59595B"/>
          <w:sz w:val="20"/>
        </w:rPr>
        <w:t>The running balance for each role is reconciled.</w:t>
      </w:r>
    </w:p>
    <w:p>
      <w:pPr>
        <w:spacing w:after="60"/>
      </w:pPr>
      <w:r>
        <w:rPr>
          <w:rFonts w:ascii="Open Sans" w:hAnsi="Open Sans"/>
          <w:b/>
          <w:i w:val="0"/>
          <w:color w:val="006DB6"/>
          <w:sz w:val="20"/>
        </w:rPr>
        <w:t xml:space="preserve">    2. </w:t>
      </w:r>
      <w:r>
        <w:rPr>
          <w:rFonts w:ascii="Open Sans" w:hAnsi="Open Sans"/>
          <w:b w:val="0"/>
          <w:i w:val="0"/>
          <w:color w:val="59595B"/>
          <w:sz w:val="20"/>
        </w:rPr>
        <w:t>Any net positive balance (hours consumed but not yet billed) is carried forward into the next Cycle. The next Cycle’s monthly billed amount will be recalculated per Section 3.3(b) to absorb this balance and target a zero unpaid balance by the end of the next Cycle.</w:t>
      </w:r>
    </w:p>
    <w:p>
      <w:pPr>
        <w:spacing w:after="60"/>
      </w:pPr>
      <w:r>
        <w:rPr>
          <w:rFonts w:ascii="Open Sans" w:hAnsi="Open Sans"/>
          <w:b/>
          <w:i w:val="0"/>
          <w:color w:val="006DB6"/>
          <w:sz w:val="20"/>
        </w:rPr>
        <w:t xml:space="preserve">    3. </w:t>
      </w:r>
      <w:r>
        <w:rPr>
          <w:rFonts w:ascii="Open Sans" w:hAnsi="Open Sans"/>
          <w:b w:val="0"/>
          <w:i w:val="0"/>
          <w:color w:val="59595B"/>
          <w:sz w:val="20"/>
        </w:rPr>
        <w:t>Any net negative balance (hours billed but not consumed) resets to zero. No credit or refund is issued. The actual usage data from the completed Cycle is used to calculate the monthly billed amount for the next Cycle per Section 3.3(b).</w:t>
      </w:r>
    </w:p>
    <w:p>
      <w:pPr>
        <w:spacing w:after="60"/>
      </w:pPr>
      <w:r>
        <w:rPr>
          <w:rFonts w:ascii="Open Sans" w:hAnsi="Open Sans"/>
          <w:b/>
          <w:i w:val="0"/>
          <w:color w:val="006DB6"/>
          <w:sz w:val="20"/>
        </w:rPr>
        <w:t xml:space="preserve">(e) </w:t>
      </w:r>
      <w:r>
        <w:rPr>
          <w:rFonts w:ascii="Open Sans" w:hAnsi="Open Sans"/>
          <w:b w:val="0"/>
          <w:i w:val="0"/>
          <w:color w:val="59595B"/>
          <w:sz w:val="20"/>
        </w:rPr>
        <w:t>Cancellation. If Client terminates Virtual Staff services or this Agreement:</w:t>
      </w:r>
    </w:p>
    <w:p>
      <w:pPr>
        <w:spacing w:after="60"/>
      </w:pPr>
      <w:r>
        <w:rPr>
          <w:rFonts w:ascii="Open Sans" w:hAnsi="Open Sans"/>
          <w:b/>
          <w:i w:val="0"/>
          <w:color w:val="006DB6"/>
          <w:sz w:val="20"/>
        </w:rPr>
        <w:t xml:space="preserve">    1. </w:t>
      </w:r>
      <w:r>
        <w:rPr>
          <w:rFonts w:ascii="Open Sans" w:hAnsi="Open Sans"/>
          <w:b w:val="0"/>
          <w:i w:val="0"/>
          <w:color w:val="59595B"/>
          <w:sz w:val="20"/>
        </w:rPr>
        <w:t>Any positive running balance (actual hours exceeding billed hours) shall become immediately due and payable. The unpaid hours shall be invoiced at the applicable Hourly Rate from the Rate Card (Schedule C), not the Contracted Rate. This reflects the rate that would have applied had Client engaged Technijian on an ad hoc hourly basis without a Cycle commitment.</w:t>
      </w:r>
    </w:p>
    <w:p>
      <w:pPr>
        <w:spacing w:after="60"/>
      </w:pPr>
      <w:r>
        <w:rPr>
          <w:rFonts w:ascii="Open Sans" w:hAnsi="Open Sans"/>
          <w:b/>
          <w:i w:val="0"/>
          <w:color w:val="006DB6"/>
          <w:sz w:val="20"/>
        </w:rPr>
        <w:t xml:space="preserve">    2. </w:t>
      </w:r>
      <w:r>
        <w:rPr>
          <w:rFonts w:ascii="Open Sans" w:hAnsi="Open Sans"/>
          <w:b w:val="0"/>
          <w:i w:val="0"/>
          <w:color w:val="59595B"/>
          <w:sz w:val="20"/>
        </w:rPr>
        <w:t>Any negative running balance (billed hours exceeding actual hours) does not entitle Client to a credit, refund, or offset against the final invoice. The unpaid balance is simply zero and no further amounts are due from either Party with respect to that role.</w:t>
      </w:r>
    </w:p>
    <w:p>
      <w:pPr>
        <w:spacing w:after="60"/>
      </w:pPr>
      <w:r>
        <w:rPr>
          <w:rFonts w:ascii="Open Sans" w:hAnsi="Open Sans"/>
          <w:b/>
          <w:i w:val="0"/>
          <w:color w:val="006DB6"/>
          <w:sz w:val="20"/>
        </w:rPr>
        <w:t xml:space="preserve">    3. </w:t>
      </w:r>
      <w:r>
        <w:rPr>
          <w:rFonts w:ascii="Open Sans" w:hAnsi="Open Sans"/>
          <w:b w:val="0"/>
          <w:i w:val="0"/>
          <w:color w:val="59595B"/>
          <w:sz w:val="20"/>
        </w:rPr>
        <w:t>The Cycle-Based Billing Model provides Client with Contracted Rates that are lower than the standard Hourly Rates as consideration for Client’s commitment to the Cycle. The application of Hourly Rates upon cancellation reflects the removal of that commitment and the corresponding rate benefit.</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3.4 Weekly Service Reports</w:t>
            </w:r>
          </w:p>
        </w:tc>
      </w:tr>
    </w:tbl>
    <w:p>
      <w:pPr>
        <w:spacing w:after="120"/>
      </w:pPr>
      <w:r>
        <w:rPr>
          <w:rFonts w:ascii="Open Sans" w:hAnsi="Open Sans"/>
          <w:b w:val="0"/>
          <w:i w:val="0"/>
          <w:color w:val="59595B"/>
          <w:sz w:val="20"/>
        </w:rPr>
        <w:t>Technijian shall provide Client with weekly service reports that detail:</w:t>
      </w:r>
    </w:p>
    <w:p>
      <w:pPr>
        <w:spacing w:after="60"/>
      </w:pPr>
      <w:r>
        <w:rPr>
          <w:rFonts w:ascii="Open Sans" w:hAnsi="Open Sans"/>
          <w:b/>
          <w:i w:val="0"/>
          <w:color w:val="006DB6"/>
          <w:sz w:val="20"/>
        </w:rPr>
        <w:t xml:space="preserve">(a) </w:t>
      </w:r>
      <w:r>
        <w:rPr>
          <w:rFonts w:ascii="Open Sans" w:hAnsi="Open Sans"/>
          <w:b w:val="0"/>
          <w:i w:val="0"/>
          <w:color w:val="59595B"/>
          <w:sz w:val="20"/>
        </w:rPr>
        <w:t>Each support ticket addressed during the period;</w:t>
      </w:r>
    </w:p>
    <w:p>
      <w:pPr>
        <w:spacing w:after="60"/>
      </w:pPr>
      <w:r>
        <w:rPr>
          <w:rFonts w:ascii="Open Sans" w:hAnsi="Open Sans"/>
          <w:b/>
          <w:i w:val="0"/>
          <w:color w:val="006DB6"/>
          <w:sz w:val="20"/>
        </w:rPr>
        <w:t xml:space="preserve">(b) </w:t>
      </w:r>
      <w:r>
        <w:rPr>
          <w:rFonts w:ascii="Open Sans" w:hAnsi="Open Sans"/>
          <w:b w:val="0"/>
          <w:i w:val="0"/>
          <w:color w:val="59595B"/>
          <w:sz w:val="20"/>
        </w:rPr>
        <w:t>The role, resource name, and hours spent per ticket;</w:t>
      </w:r>
    </w:p>
    <w:p>
      <w:pPr>
        <w:spacing w:after="60"/>
      </w:pPr>
      <w:r>
        <w:rPr>
          <w:rFonts w:ascii="Open Sans" w:hAnsi="Open Sans"/>
          <w:b/>
          <w:i w:val="0"/>
          <w:color w:val="006DB6"/>
          <w:sz w:val="20"/>
        </w:rPr>
        <w:t xml:space="preserve">(c) </w:t>
      </w:r>
      <w:r>
        <w:rPr>
          <w:rFonts w:ascii="Open Sans" w:hAnsi="Open Sans"/>
          <w:b w:val="0"/>
          <w:i w:val="0"/>
          <w:color w:val="59595B"/>
          <w:sz w:val="20"/>
        </w:rPr>
        <w:t>Whether the work was performed during normal or after-hours;</w:t>
      </w:r>
    </w:p>
    <w:p>
      <w:pPr>
        <w:spacing w:after="60"/>
      </w:pPr>
      <w:r>
        <w:rPr>
          <w:rFonts w:ascii="Open Sans" w:hAnsi="Open Sans"/>
          <w:b/>
          <w:i w:val="0"/>
          <w:color w:val="006DB6"/>
          <w:sz w:val="20"/>
        </w:rPr>
        <w:t xml:space="preserve">(d) </w:t>
      </w:r>
      <w:r>
        <w:rPr>
          <w:rFonts w:ascii="Open Sans" w:hAnsi="Open Sans"/>
          <w:b w:val="0"/>
          <w:i w:val="0"/>
          <w:color w:val="59595B"/>
          <w:sz w:val="20"/>
        </w:rPr>
        <w:t>A description of the work performed; and</w:t>
      </w:r>
    </w:p>
    <w:p>
      <w:pPr>
        <w:spacing w:after="60"/>
      </w:pPr>
      <w:r>
        <w:rPr>
          <w:rFonts w:ascii="Open Sans" w:hAnsi="Open Sans"/>
          <w:b/>
          <w:i w:val="0"/>
          <w:color w:val="006DB6"/>
          <w:sz w:val="20"/>
        </w:rPr>
        <w:t xml:space="preserve">(e) </w:t>
      </w:r>
      <w:r>
        <w:rPr>
          <w:rFonts w:ascii="Open Sans" w:hAnsi="Open Sans"/>
          <w:b w:val="0"/>
          <w:i w:val="0"/>
          <w:color w:val="59595B"/>
          <w:sz w:val="20"/>
        </w:rPr>
        <w:t>The current running balance for each role.</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3.5 New Client Onboarding</w:t>
            </w:r>
          </w:p>
        </w:tc>
      </w:tr>
    </w:tbl>
    <w:p>
      <w:pPr>
        <w:spacing w:after="120"/>
      </w:pPr>
      <w:r>
        <w:rPr>
          <w:rFonts w:ascii="Open Sans" w:hAnsi="Open Sans"/>
          <w:b w:val="0"/>
          <w:i w:val="0"/>
          <w:color w:val="59595B"/>
          <w:sz w:val="20"/>
        </w:rPr>
        <w:t>For new Clients without a previous Cycle history, the initial Cycle billing shall be based on:</w:t>
      </w:r>
    </w:p>
    <w:p>
      <w:pPr>
        <w:spacing w:after="60"/>
      </w:pPr>
      <w:r>
        <w:rPr>
          <w:rFonts w:ascii="Open Sans" w:hAnsi="Open Sans"/>
          <w:b/>
          <w:i w:val="0"/>
          <w:color w:val="006DB6"/>
          <w:sz w:val="20"/>
        </w:rPr>
        <w:t xml:space="preserve">(a) </w:t>
      </w:r>
      <w:r>
        <w:rPr>
          <w:rFonts w:ascii="Open Sans" w:hAnsi="Open Sans"/>
          <w:b w:val="0"/>
          <w:i w:val="0"/>
          <w:color w:val="59595B"/>
          <w:sz w:val="20"/>
        </w:rPr>
        <w:t>A mutually agreed-upon estimated monthly hours per role, documented in the Service Order; and</w:t>
      </w:r>
    </w:p>
    <w:p>
      <w:pPr>
        <w:spacing w:after="60"/>
      </w:pPr>
      <w:r>
        <w:rPr>
          <w:rFonts w:ascii="Open Sans" w:hAnsi="Open Sans"/>
          <w:b/>
          <w:i w:val="0"/>
          <w:color w:val="006DB6"/>
          <w:sz w:val="20"/>
        </w:rPr>
        <w:t xml:space="preserve">(b) </w:t>
      </w:r>
      <w:r>
        <w:rPr>
          <w:rFonts w:ascii="Open Sans" w:hAnsi="Open Sans"/>
          <w:b w:val="0"/>
          <w:i w:val="0"/>
          <w:color w:val="59595B"/>
          <w:sz w:val="20"/>
        </w:rPr>
        <w:t>Actual usage tracking beginning immediately, with the first Cycle reconciliation occurring at the end of the initial Cycle period.</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3.6 Acceptable Use</w:t>
            </w:r>
          </w:p>
        </w:tc>
      </w:tr>
    </w:tbl>
    <w:p>
      <w:pPr>
        <w:spacing w:after="120"/>
      </w:pPr>
      <w:r>
        <w:rPr>
          <w:rFonts w:ascii="Open Sans" w:hAnsi="Open Sans"/>
          <w:b w:val="0"/>
          <w:i w:val="0"/>
          <w:color w:val="59595B"/>
          <w:sz w:val="20"/>
        </w:rPr>
        <w:t>Client shall direct Virtual Staff only to perform work within the scope of the applicable role description and the services contemplated by this Agreement. Client shall not direct or request Virtual Staff to:</w:t>
      </w:r>
    </w:p>
    <w:p>
      <w:pPr>
        <w:spacing w:after="60"/>
      </w:pPr>
      <w:r>
        <w:rPr>
          <w:rFonts w:ascii="Open Sans" w:hAnsi="Open Sans"/>
          <w:b/>
          <w:i w:val="0"/>
          <w:color w:val="006DB6"/>
          <w:sz w:val="20"/>
        </w:rPr>
        <w:t xml:space="preserve">(a) </w:t>
      </w:r>
      <w:r>
        <w:rPr>
          <w:rFonts w:ascii="Open Sans" w:hAnsi="Open Sans"/>
          <w:b w:val="0"/>
          <w:i w:val="0"/>
          <w:color w:val="59595B"/>
          <w:sz w:val="20"/>
        </w:rPr>
        <w:t>Perform any activity that violates applicable law, regulation, or third-party rights;</w:t>
      </w:r>
    </w:p>
    <w:p>
      <w:pPr>
        <w:spacing w:after="60"/>
      </w:pPr>
      <w:r>
        <w:rPr>
          <w:rFonts w:ascii="Open Sans" w:hAnsi="Open Sans"/>
          <w:b/>
          <w:i w:val="0"/>
          <w:color w:val="006DB6"/>
          <w:sz w:val="20"/>
        </w:rPr>
        <w:t xml:space="preserve">(b) </w:t>
      </w:r>
      <w:r>
        <w:rPr>
          <w:rFonts w:ascii="Open Sans" w:hAnsi="Open Sans"/>
          <w:b w:val="0"/>
          <w:i w:val="0"/>
          <w:color w:val="59595B"/>
          <w:sz w:val="20"/>
        </w:rPr>
        <w:t>Access, process, or transmit data in violation of data protection laws or Client’s own data handling policies;</w:t>
      </w:r>
    </w:p>
    <w:p>
      <w:pPr>
        <w:spacing w:after="60"/>
      </w:pPr>
      <w:r>
        <w:rPr>
          <w:rFonts w:ascii="Open Sans" w:hAnsi="Open Sans"/>
          <w:b/>
          <w:i w:val="0"/>
          <w:color w:val="006DB6"/>
          <w:sz w:val="20"/>
        </w:rPr>
        <w:t xml:space="preserve">(c) </w:t>
      </w:r>
      <w:r>
        <w:rPr>
          <w:rFonts w:ascii="Open Sans" w:hAnsi="Open Sans"/>
          <w:b w:val="0"/>
          <w:i w:val="0"/>
          <w:color w:val="59595B"/>
          <w:sz w:val="20"/>
        </w:rPr>
        <w:t>Perform work for any entity other than Client without Technijian’s prior written consent; or</w:t>
      </w:r>
    </w:p>
    <w:p>
      <w:pPr>
        <w:spacing w:after="60"/>
      </w:pPr>
      <w:r>
        <w:rPr>
          <w:rFonts w:ascii="Open Sans" w:hAnsi="Open Sans"/>
          <w:b/>
          <w:i w:val="0"/>
          <w:color w:val="006DB6"/>
          <w:sz w:val="20"/>
        </w:rPr>
        <w:t xml:space="preserve">(d) </w:t>
      </w:r>
      <w:r>
        <w:rPr>
          <w:rFonts w:ascii="Open Sans" w:hAnsi="Open Sans"/>
          <w:b w:val="0"/>
          <w:i w:val="0"/>
          <w:color w:val="59595B"/>
          <w:sz w:val="20"/>
        </w:rPr>
        <w:t>Perform work outside the scope of the role for which they are contracted without a corresponding change to the Service Order.</w:t>
      </w:r>
    </w:p>
    <w:p>
      <w:pPr>
        <w:spacing w:after="120"/>
      </w:pPr>
      <w:r>
        <w:rPr>
          <w:rFonts w:ascii="Open Sans" w:hAnsi="Open Sans"/>
          <w:b w:val="0"/>
          <w:i w:val="0"/>
          <w:color w:val="59595B"/>
          <w:sz w:val="20"/>
        </w:rPr>
        <w:t>Technijian reserves the right to reassign or remove Virtual Staff if Client directs work that falls outside these guidelines, without affecting Client’s billing obligations under Section 3.3.</w:t>
      </w:r>
    </w:p>
    <w:p>
      <w:pPr>
        <w:spacing w:after="80"/>
      </w:pPr>
      <w:r>
        <w:rPr>
          <w:rFonts w:ascii="Open Sans" w:hAnsi="Open Sans"/>
          <w:b w:val="0"/>
          <w:i w:val="0"/>
          <w:color w:val="59595B"/>
          <w:sz w:val="20"/>
        </w:rPr>
        <w:t>Note: Virtual Staff services are not included in the current Service Order. This section is included for reference should Client elect to add Virtual Staff services in the future.</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GENERAL TERMS FOR THIS SCHEDULE</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Changes to Services</w:t>
            </w:r>
          </w:p>
        </w:tc>
      </w:tr>
    </w:tbl>
    <w:p>
      <w:pPr>
        <w:spacing w:after="120"/>
      </w:pPr>
      <w:r>
        <w:rPr>
          <w:rFonts w:ascii="Open Sans" w:hAnsi="Open Sans"/>
          <w:b w:val="0"/>
          <w:i w:val="0"/>
          <w:color w:val="59595B"/>
          <w:sz w:val="20"/>
        </w:rPr>
        <w:t>Either Party may request changes to the services described in this Schedule by providing thirty (30) days written notice. Changes to quantities, roles, or service levels shall be documented in an updated Service Order signed by both Parties.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Pricing Adjustments</w:t>
            </w:r>
          </w:p>
        </w:tc>
      </w:tr>
    </w:tbl>
    <w:p>
      <w:pPr>
        <w:spacing w:after="120"/>
      </w:pPr>
      <w:r>
        <w:rPr>
          <w:rFonts w:ascii="Open Sans" w:hAnsi="Open Sans"/>
          <w:b w:val="0"/>
          <w:i w:val="0"/>
          <w:color w:val="59595B"/>
          <w:sz w:val="20"/>
        </w:rPr>
        <w:t>Pricing for services under this Schedule is subject to the Rate Card (Schedule C). Technijian may adjust rates upon sixty (60) days written notice, effective at the start of the next Renewal Term of the Agreement.</w:t>
      </w:r>
    </w:p>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SIGNATURES</w:t>
            </w:r>
          </w:p>
        </w:tc>
      </w:tr>
    </w:tbl>
    <w:p>
      <w:pPr>
        <w:spacing w:after="160"/>
      </w:pPr>
    </w:p>
    <w:p>
      <w:r>
        <w:rPr>
          <w:rFonts w:ascii="Open Sans" w:hAnsi="Open Sans"/>
          <w:b/>
          <w:i w:val="0"/>
          <w:color w:val="1A1A2E"/>
          <w:sz w:val="22"/>
        </w:rPr>
        <w:t>TECHNIJIAN, INC.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240"/>
      </w:pPr>
    </w:p>
    <w:p>
      <w:r>
        <w:rPr>
          <w:rFonts w:ascii="Open Sans" w:hAnsi="Open Sans"/>
          <w:b/>
          <w:i w:val="0"/>
          <w:color w:val="1A1A2E"/>
          <w:sz w:val="22"/>
        </w:rPr>
        <w:t>OAKTREE LAW</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Ed Pits</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