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Suresh Kumar Sharma</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TIPL-CSE-2025-04</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June 9, 2025</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Cost Reduction</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Suresh Kumar Sharma</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termination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Your full and final settlement will be disbursed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Your accrued Earned Leave (EL) balance of 49.13 hours (approximately 6.14 working days) as of April 2026 payroll will be encashed separately as part of your full and final settlement, per your request dated May 11, 2026. EL encashment is calculated on Basic wages per IR Code 2020 §2(zh).</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40,000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13,333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Rs.40,000 / 30</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Tenure &lt; 1 year;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4,590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49.13 hrs / 6.14 days x Basic Rs.19,434 / 26 (per April 2026 payslip)</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57,923</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spacing w:after="80" w:before="100"/>
      </w:pPr>
      <w:r>
        <w:rPr>
          <w:rFonts w:ascii="Calibri" w:cs="Calibri" w:eastAsia="Calibri" w:hAnsi="Calibri"/>
          <w:b/>
          <w:bCs/>
          <w:color w:val="006DB6"/>
          <w:sz w:val="22"/>
          <w:szCs w:val="22"/>
        </w:rPr>
        <w:t xml:space="preserve">Future Re-Employment:</w:t>
      </w:r>
    </w:p>
    <w:p>
      <w:pPr>
        <w:spacing w:after="200" w:before="0"/>
        <w:jc w:val="left"/>
      </w:pPr>
      <w:r>
        <w:rPr>
          <w:rFonts w:ascii="Calibri" w:cs="Calibri" w:eastAsia="Calibri" w:hAnsi="Calibri"/>
          <w:b w:val="false"/>
          <w:bCs w:val="false"/>
          <w:i w:val="false"/>
          <w:iCs w:val="false"/>
          <w:color w:val="59595B"/>
          <w:sz w:val="22"/>
          <w:szCs w:val="22"/>
        </w:rPr>
        <w:t xml:space="preserve">For clarity, while a relieving letter and service certificate will be issued upon written request, you will not be eligible for re-employment with Technijian IT Services Pvt. Ltd. or its affiliated entities at any future date.</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Suresh Kumar Sharma</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Suresh Kumar Sharma</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TIPL-CSE-2025-04</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Suresh Kumar Sharma</dc:title>
  <dc:creator>Technijian IT Services Pvt. Ltd.</dc:creator>
  <dc:description>Employment termination notice dated May 11, 2026</dc:description>
  <cp:lastModifiedBy>Un-named</cp:lastModifiedBy>
  <cp:revision>1</cp:revision>
  <dcterms:created xsi:type="dcterms:W3CDTF">2026-05-11T18:20:25.861Z</dcterms:created>
  <dcterms:modified xsi:type="dcterms:W3CDTF">2026-05-11T18:20:25.862Z</dcterms:modified>
</cp:coreProperties>
</file>

<file path=docProps/custom.xml><?xml version="1.0" encoding="utf-8"?>
<Properties xmlns="http://schemas.openxmlformats.org/officeDocument/2006/custom-properties" xmlns:vt="http://schemas.openxmlformats.org/officeDocument/2006/docPropsVTypes"/>
</file>