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Technijian, Inc.</w:t>
      </w:r>
    </w:p>
    <w:p>
      <w:pPr>
        <w:jc w:val="center"/>
      </w:pPr>
      <w:r>
        <w:rPr>
          <w:i/>
          <w:color w:val="5B7A99"/>
          <w:sz w:val="20"/>
        </w:rPr>
        <w:t>Technology as a Solution</w:t>
      </w:r>
    </w:p>
    <w:p>
      <w:pPr>
        <w:jc w:val="center"/>
      </w:pPr>
      <w:r>
        <w:rPr>
          <w:sz w:val="18"/>
        </w:rPr>
        <w:t>18 Technology Drive, Suite 141, Irvine, CA 92618  |  (949) 379-8499  |  www.technijian.com</w:t>
      </w:r>
    </w:p>
    <w:p>
      <w:pPr>
        <w:pBdr>
          <w:bottom w:val="single" w:sz="8" w:color="1F4E79"/>
        </w:pBdr>
      </w:pPr>
    </w:p>
    <w:p/>
    <w:p>
      <w:pPr>
        <w:spacing w:before="240" w:after="120"/>
        <w:jc w:val="center"/>
      </w:pPr>
      <w:r>
        <w:rPr>
          <w:b/>
          <w:color w:val="1F4E79"/>
          <w:sz w:val="28"/>
        </w:rPr>
        <w:t>SETTLEMENT POSITION MEMORANDUM</w:t>
      </w:r>
    </w:p>
    <w:p>
      <w:pPr>
        <w:spacing w:before="120" w:after="120"/>
        <w:jc w:val="center"/>
      </w:pPr>
      <w:r>
        <w:rPr>
          <w:b/>
          <w:i/>
          <w:color w:val="B22222"/>
          <w:sz w:val="20"/>
        </w:rPr>
        <w:t>PRIVILEGED SETTLEMENT COMMUNICATION — Cal. Evid. Code §§ 1119, 1152; Fed. R. Evid. 408.</w:t>
      </w:r>
    </w:p>
    <w:p>
      <w:pPr>
        <w:pBdr>
          <w:bottom w:val="single" w:sz="4" w:color="888888"/>
        </w:pBdr>
      </w:pPr>
    </w:p>
    <w:p>
      <w:pPr>
        <w:spacing w:after="40"/>
      </w:pPr>
      <w:r>
        <w:rPr>
          <w:b/>
        </w:rPr>
        <w:t xml:space="preserve">To: </w:t>
      </w:r>
      <w:r>
        <w:t>[Counsel for Respondent Vintage Design — to be filled by Callahan &amp; Blaine]</w:t>
      </w:r>
    </w:p>
    <w:p>
      <w:pPr>
        <w:spacing w:after="40"/>
      </w:pPr>
      <w:r>
        <w:rPr>
          <w:b/>
        </w:rPr>
        <w:t xml:space="preserve">From: </w:t>
      </w:r>
      <w:r>
        <w:t>Edward Susolik, Esq. — Callahan &amp; Blaine, PC, Counsel for Claimant Technijian, Inc.</w:t>
      </w:r>
    </w:p>
    <w:p>
      <w:pPr>
        <w:spacing w:after="40"/>
      </w:pPr>
      <w:r>
        <w:rPr>
          <w:b/>
        </w:rPr>
        <w:t xml:space="preserve">Re: </w:t>
      </w:r>
      <w:r>
        <w:t>Technijian, Inc. v. Vintage Design, LLC — American Arbitration Association</w:t>
      </w:r>
    </w:p>
    <w:p>
      <w:pPr>
        <w:spacing w:after="40"/>
      </w:pPr>
      <w:r>
        <w:rPr>
          <w:b/>
        </w:rPr>
        <w:t xml:space="preserve">Date: </w:t>
      </w:r>
      <w:r>
        <w:t>April 14, 2026</w:t>
      </w:r>
    </w:p>
    <w:p/>
    <w:p>
      <w:pPr>
        <w:spacing w:before="240" w:after="120"/>
      </w:pPr>
      <w:r>
        <w:rPr>
          <w:b/>
          <w:color w:val="1F4E79"/>
          <w:sz w:val="24"/>
        </w:rPr>
        <w:t>I. PURPOSE</w:t>
      </w:r>
    </w:p>
    <w:p>
      <w:pPr>
        <w:jc w:val="both"/>
      </w:pPr>
      <w:r>
        <w:rPr>
          <w:b w:val="0"/>
          <w:i w:val="0"/>
        </w:rPr>
        <w:t>Technijian, Inc. ("Technijian") submits this memorandum in advance of the parties' counsel conference to support a good-faith resolution of this matter before depositions and further arbitration costs are incurred. Based on the undisputed signed Agreement, Technijian's own contemporaneous business records, and controlling California authority, Technijian's cancellation-fee recovery — before prejudgment interest, contractual attorneys' fees, and arbitration costs — is $240,555.15 as pleaded, rising to approximately $325,000–$370,000 through award. This memorandum proposes resolution at that pleaded primary number and identifies the legal framework that will control the arbitration if the matter is not resolved.</w:t>
      </w:r>
    </w:p>
    <w:p>
      <w:pPr>
        <w:spacing w:before="240" w:after="120"/>
      </w:pPr>
      <w:r>
        <w:rPr>
          <w:b/>
          <w:color w:val="1F4E79"/>
          <w:sz w:val="24"/>
        </w:rPr>
        <w:t>II. THE OPERATIVE AGREEMENT (UNCONTESTED)</w:t>
      </w:r>
    </w:p>
    <w:p>
      <w:pPr>
        <w:jc w:val="both"/>
      </w:pPr>
      <w:r>
        <w:rPr>
          <w:b w:val="0"/>
          <w:i w:val="0"/>
        </w:rPr>
        <w:t>The Client Monthly Service Agreement between Vintage Design and Technijian, Inc. was executed via DocuSign on May 4, 2023 (Envelope ID B679C550-E41C-4E31-BE34-7F8FFF437C3D), signed by Erica Garcia, VP Finance, on behalf of Vintage Design and Ravi Jain, CEO, on behalf of Technijian. The Agreement is attached as Exhibit A. Its material terms:</w:t>
      </w:r>
    </w:p>
    <w:tbl>
      <w:tblPr>
        <w:tblStyle w:val="LightGrid-Accent1"/>
        <w:tblW w:type="auto" w:w="0"/>
        <w:tblLook w:firstColumn="1" w:firstRow="1" w:lastColumn="0" w:lastRow="0" w:noHBand="0" w:noVBand="1" w:val="04A0"/>
      </w:tblPr>
      <w:tblGrid>
        <w:gridCol w:w="3120"/>
        <w:gridCol w:w="3120"/>
        <w:gridCol w:w="3120"/>
      </w:tblGrid>
      <w:tr>
        <w:tc>
          <w:tcPr>
            <w:tcW w:type="dxa" w:w="2880"/>
          </w:tcPr>
          <w:p>
            <w:r>
              <w:rPr>
                <w:b/>
                <w:sz w:val="20"/>
              </w:rPr>
              <w:t>Term</w:t>
            </w:r>
          </w:p>
        </w:tc>
        <w:tc>
          <w:tcPr>
            <w:tcW w:type="dxa" w:w="4752"/>
          </w:tcPr>
          <w:p>
            <w:r>
              <w:rPr>
                <w:b/>
                <w:sz w:val="20"/>
              </w:rPr>
              <w:t>Value</w:t>
            </w:r>
          </w:p>
        </w:tc>
        <w:tc>
          <w:tcPr>
            <w:tcW w:type="dxa" w:w="1728"/>
          </w:tcPr>
          <w:p>
            <w:r>
              <w:rPr>
                <w:b/>
                <w:sz w:val="20"/>
              </w:rPr>
              <w:t>Source</w:t>
            </w:r>
          </w:p>
        </w:tc>
      </w:tr>
      <w:tr>
        <w:tc>
          <w:tcPr>
            <w:tcW w:type="dxa" w:w="2880"/>
          </w:tcPr>
          <w:p>
            <w:r>
              <w:rPr>
                <w:sz w:val="20"/>
              </w:rPr>
              <w:t>Client entity</w:t>
            </w:r>
          </w:p>
        </w:tc>
        <w:tc>
          <w:tcPr>
            <w:tcW w:type="dxa" w:w="4752"/>
          </w:tcPr>
          <w:p>
            <w:r>
              <w:rPr>
                <w:sz w:val="20"/>
              </w:rPr>
              <w:t>Vintage Design, a California corporation</w:t>
            </w:r>
          </w:p>
        </w:tc>
        <w:tc>
          <w:tcPr>
            <w:tcW w:type="dxa" w:w="1728"/>
          </w:tcPr>
          <w:p>
            <w:r>
              <w:rPr>
                <w:sz w:val="20"/>
              </w:rPr>
              <w:t>Agreement signature page</w:t>
            </w:r>
          </w:p>
        </w:tc>
      </w:tr>
      <w:tr>
        <w:tc>
          <w:tcPr>
            <w:tcW w:type="dxa" w:w="2880"/>
          </w:tcPr>
          <w:p>
            <w:r>
              <w:rPr>
                <w:sz w:val="20"/>
              </w:rPr>
              <w:t>Agreement date</w:t>
            </w:r>
          </w:p>
        </w:tc>
        <w:tc>
          <w:tcPr>
            <w:tcW w:type="dxa" w:w="4752"/>
          </w:tcPr>
          <w:p>
            <w:r>
              <w:rPr>
                <w:sz w:val="20"/>
              </w:rPr>
              <w:t>May 4, 2023</w:t>
            </w:r>
          </w:p>
        </w:tc>
        <w:tc>
          <w:tcPr>
            <w:tcW w:type="dxa" w:w="1728"/>
          </w:tcPr>
          <w:p>
            <w:r>
              <w:rPr>
                <w:sz w:val="20"/>
              </w:rPr>
              <w:t>DocuSign envelope</w:t>
            </w:r>
          </w:p>
        </w:tc>
      </w:tr>
      <w:tr>
        <w:tc>
          <w:tcPr>
            <w:tcW w:type="dxa" w:w="2880"/>
          </w:tcPr>
          <w:p>
            <w:r>
              <w:rPr>
                <w:sz w:val="20"/>
              </w:rPr>
              <w:t>Under-contract period</w:t>
            </w:r>
          </w:p>
        </w:tc>
        <w:tc>
          <w:tcPr>
            <w:tcW w:type="dxa" w:w="4752"/>
          </w:tcPr>
          <w:p>
            <w:r>
              <w:rPr>
                <w:sz w:val="20"/>
              </w:rPr>
              <w:t>12 months</w:t>
            </w:r>
          </w:p>
        </w:tc>
        <w:tc>
          <w:tcPr>
            <w:tcW w:type="dxa" w:w="1728"/>
          </w:tcPr>
          <w:p>
            <w:r>
              <w:rPr>
                <w:sz w:val="20"/>
              </w:rPr>
              <w:t>Under Contract ¶ 1</w:t>
            </w:r>
          </w:p>
        </w:tc>
      </w:tr>
      <w:tr>
        <w:tc>
          <w:tcPr>
            <w:tcW w:type="dxa" w:w="2880"/>
          </w:tcPr>
          <w:p>
            <w:r>
              <w:rPr>
                <w:sz w:val="20"/>
              </w:rPr>
              <w:t>Cancellation rate</w:t>
            </w:r>
          </w:p>
        </w:tc>
        <w:tc>
          <w:tcPr>
            <w:tcW w:type="dxa" w:w="4752"/>
          </w:tcPr>
          <w:p>
            <w:r>
              <w:rPr>
                <w:sz w:val="20"/>
              </w:rPr>
              <w:t>$150/hour for excess ticketed hours</w:t>
            </w:r>
          </w:p>
        </w:tc>
        <w:tc>
          <w:tcPr>
            <w:tcW w:type="dxa" w:w="1728"/>
          </w:tcPr>
          <w:p>
            <w:r>
              <w:rPr>
                <w:sz w:val="20"/>
              </w:rPr>
              <w:t>Under Contract ¶ 5</w:t>
            </w:r>
          </w:p>
        </w:tc>
      </w:tr>
      <w:tr>
        <w:tc>
          <w:tcPr>
            <w:tcW w:type="dxa" w:w="2880"/>
          </w:tcPr>
          <w:p>
            <w:r>
              <w:rPr>
                <w:sz w:val="20"/>
              </w:rPr>
              <w:t>POD rates</w:t>
            </w:r>
          </w:p>
        </w:tc>
        <w:tc>
          <w:tcPr>
            <w:tcW w:type="dxa" w:w="4752"/>
          </w:tcPr>
          <w:p>
            <w:r>
              <w:rPr>
                <w:sz w:val="20"/>
              </w:rPr>
              <w:t>CHD-TS1 Normal $15/hr; CHD-TS1 AH $30/hr; IRV-TS1 Normal $125/hr</w:t>
            </w:r>
          </w:p>
        </w:tc>
        <w:tc>
          <w:tcPr>
            <w:tcW w:type="dxa" w:w="1728"/>
          </w:tcPr>
          <w:p>
            <w:r>
              <w:rPr>
                <w:sz w:val="20"/>
              </w:rPr>
              <w:t>POD Specifications</w:t>
            </w:r>
          </w:p>
        </w:tc>
      </w:tr>
      <w:tr>
        <w:tc>
          <w:tcPr>
            <w:tcW w:type="dxa" w:w="2880"/>
          </w:tcPr>
          <w:p>
            <w:r>
              <w:rPr>
                <w:sz w:val="20"/>
              </w:rPr>
              <w:t>Initial billed hours</w:t>
            </w:r>
          </w:p>
        </w:tc>
        <w:tc>
          <w:tcPr>
            <w:tcW w:type="dxa" w:w="4752"/>
          </w:tcPr>
          <w:p>
            <w:r>
              <w:rPr>
                <w:sz w:val="20"/>
              </w:rPr>
              <w:t>40 + 20 + 20 = 80 hrs/month</w:t>
            </w:r>
          </w:p>
        </w:tc>
        <w:tc>
          <w:tcPr>
            <w:tcW w:type="dxa" w:w="1728"/>
          </w:tcPr>
          <w:p>
            <w:r>
              <w:rPr>
                <w:sz w:val="20"/>
              </w:rPr>
              <w:t>POD Specifications</w:t>
            </w:r>
          </w:p>
        </w:tc>
      </w:tr>
      <w:tr>
        <w:tc>
          <w:tcPr>
            <w:tcW w:type="dxa" w:w="2880"/>
          </w:tcPr>
          <w:p>
            <w:r>
              <w:rPr>
                <w:sz w:val="20"/>
              </w:rPr>
              <w:t>Out-of-contract (IRV-TS1)</w:t>
            </w:r>
          </w:p>
        </w:tc>
        <w:tc>
          <w:tcPr>
            <w:tcW w:type="dxa" w:w="4752"/>
          </w:tcPr>
          <w:p>
            <w:r>
              <w:rPr>
                <w:sz w:val="20"/>
              </w:rPr>
              <w:t>$150/hr onsite normal; $200/hr onsite after-hours</w:t>
            </w:r>
          </w:p>
        </w:tc>
        <w:tc>
          <w:tcPr>
            <w:tcW w:type="dxa" w:w="1728"/>
          </w:tcPr>
          <w:p>
            <w:r>
              <w:rPr>
                <w:sz w:val="20"/>
              </w:rPr>
              <w:t>Out of Contract table</w:t>
            </w:r>
          </w:p>
        </w:tc>
      </w:tr>
      <w:tr>
        <w:tc>
          <w:tcPr>
            <w:tcW w:type="dxa" w:w="2880"/>
          </w:tcPr>
          <w:p>
            <w:r>
              <w:rPr>
                <w:sz w:val="20"/>
              </w:rPr>
              <w:t>Late fee</w:t>
            </w:r>
          </w:p>
        </w:tc>
        <w:tc>
          <w:tcPr>
            <w:tcW w:type="dxa" w:w="4752"/>
          </w:tcPr>
          <w:p>
            <w:r>
              <w:rPr>
                <w:sz w:val="20"/>
              </w:rPr>
              <w:t>10% on payment after 10th of month</w:t>
            </w:r>
          </w:p>
        </w:tc>
        <w:tc>
          <w:tcPr>
            <w:tcW w:type="dxa" w:w="1728"/>
          </w:tcPr>
          <w:p>
            <w:r>
              <w:rPr>
                <w:sz w:val="20"/>
              </w:rPr>
              <w:t>Other Terms ¶ 3</w:t>
            </w:r>
          </w:p>
        </w:tc>
      </w:tr>
      <w:tr>
        <w:tc>
          <w:tcPr>
            <w:tcW w:type="dxa" w:w="2880"/>
          </w:tcPr>
          <w:p>
            <w:r>
              <w:rPr>
                <w:sz w:val="20"/>
              </w:rPr>
              <w:t>Attorneys' fees</w:t>
            </w:r>
          </w:p>
        </w:tc>
        <w:tc>
          <w:tcPr>
            <w:tcW w:type="dxa" w:w="4752"/>
          </w:tcPr>
          <w:p>
            <w:r>
              <w:rPr>
                <w:sz w:val="20"/>
              </w:rPr>
              <w:t>T&amp;C § 5.02 indemnity (reciprocal under Cal. Civ. Code § 1717)</w:t>
            </w:r>
          </w:p>
        </w:tc>
        <w:tc>
          <w:tcPr>
            <w:tcW w:type="dxa" w:w="1728"/>
          </w:tcPr>
          <w:p>
            <w:r>
              <w:rPr>
                <w:sz w:val="20"/>
              </w:rPr>
              <w:t>T&amp;C § 5.02</w:t>
            </w:r>
          </w:p>
        </w:tc>
      </w:tr>
      <w:tr>
        <w:tc>
          <w:tcPr>
            <w:tcW w:type="dxa" w:w="2880"/>
          </w:tcPr>
          <w:p>
            <w:r>
              <w:rPr>
                <w:sz w:val="20"/>
              </w:rPr>
              <w:t>Arbitration</w:t>
            </w:r>
          </w:p>
        </w:tc>
        <w:tc>
          <w:tcPr>
            <w:tcW w:type="dxa" w:w="4752"/>
          </w:tcPr>
          <w:p>
            <w:r>
              <w:rPr>
                <w:sz w:val="20"/>
              </w:rPr>
              <w:t>AAA Commercial Rules, venue Orange County</w:t>
            </w:r>
          </w:p>
        </w:tc>
        <w:tc>
          <w:tcPr>
            <w:tcW w:type="dxa" w:w="1728"/>
          </w:tcPr>
          <w:p>
            <w:r>
              <w:rPr>
                <w:sz w:val="20"/>
              </w:rPr>
              <w:t>T&amp;C § 6.10</w:t>
            </w:r>
          </w:p>
        </w:tc>
      </w:tr>
    </w:tbl>
    <w:p>
      <w:pPr>
        <w:jc w:val="both"/>
      </w:pPr>
      <w:r>
        <w:rPr>
          <w:b w:val="0"/>
          <w:i w:val="0"/>
        </w:rPr>
        <w:t>Stipulation proposed — minor caption correction. The Demand for Arbitration filed October 23, 2025 identifies Respondent as "Vintage Design, LLC, a Delaware limited liability company." The signed Agreement identifies the contracting entity as Vintage Design, a California corporation. Technijian proposes to stipulate to a caption conforming to the four corners of the signed Agreement, or to whatever related-entity designation Respondent's counsel confirms as the correct party in interest. Technijian will move to amend under AAA Commercial Rule R-6. Amendment on these facts is routine and relates back. Hawkins v. Pacific Coast Bldg. Prods., Inc. (2004) 124 Cal.App.4th 1497, 1503–1504; Mayberry v. Coca-Cola Bottling Co. (1966) 244 Cal.App.2d 350, 352.</w:t>
      </w:r>
    </w:p>
    <w:p>
      <w:pPr>
        <w:jc w:val="both"/>
      </w:pPr>
      <w:r>
        <w:rPr>
          <w:b w:val="0"/>
          <w:i w:val="0"/>
        </w:rPr>
        <w:t>No other correction to the Demand's material allegations is required. Period length, cancellation rate, POD rates, signatory identity, signing date — all are as pleaded and as confirmed by the signed Agreement itself.</w:t>
      </w:r>
    </w:p>
    <w:p>
      <w:pPr>
        <w:spacing w:before="240" w:after="120"/>
      </w:pPr>
      <w:r>
        <w:rPr>
          <w:b/>
          <w:color w:val="1F4E79"/>
          <w:sz w:val="24"/>
        </w:rPr>
        <w:t>III. UNDISPUTED FACTS</w:t>
      </w:r>
    </w:p>
    <w:p>
      <w:pPr>
        <w:jc w:val="both"/>
      </w:pPr>
      <w:r>
        <w:rPr>
          <w:b/>
        </w:rPr>
        <w:t xml:space="preserve">1. </w:t>
      </w:r>
      <w:r>
        <w:t>Execution. On May 4, 2023, Vintage Design (through Erica Garcia, VP Finance) and Technijian (through Ravi Jain, CEO) executed the Client Monthly Service Agreement via DocuSign.</w:t>
      </w:r>
    </w:p>
    <w:p>
      <w:pPr>
        <w:jc w:val="both"/>
      </w:pPr>
      <w:r>
        <w:rPr>
          <w:b/>
        </w:rPr>
        <w:t xml:space="preserve">2. </w:t>
      </w:r>
      <w:r>
        <w:t>Services Rendered. Technijian provided continuous IT support services from inception through the effective termination date of July 31, 2025 — approximately 27 months of performance. All support hours were contemporaneously recorded in Technijian's ticketing system.</w:t>
      </w:r>
    </w:p>
    <w:p>
      <w:pPr>
        <w:jc w:val="both"/>
      </w:pPr>
      <w:r>
        <w:rPr>
          <w:b/>
        </w:rPr>
        <w:t xml:space="preserve">3. </w:t>
      </w:r>
      <w:r>
        <w:t>Billing. Technijian issued monthly invoices that (a) attached the Agreement terms, (b) itemized contracted and actual hours, and (c) identified hours "not paid are due if support agreement is cancelled per monthly service agreement." Vintage Design paid every monthly invoice without objection throughout the 27-month performance period.</w:t>
      </w:r>
    </w:p>
    <w:p>
      <w:pPr>
        <w:jc w:val="both"/>
      </w:pPr>
      <w:r>
        <w:rPr>
          <w:b/>
        </w:rPr>
        <w:t xml:space="preserve">4. </w:t>
      </w:r>
      <w:r>
        <w:t>Termination Notice. On June 23, 2025, Vintage Design sent written termination notice. Per the Agreement's invoicing-cycle provision, the effective termination date is July 31, 2025.</w:t>
      </w:r>
    </w:p>
    <w:p>
      <w:pPr>
        <w:jc w:val="both"/>
      </w:pPr>
      <w:r>
        <w:rPr>
          <w:b/>
        </w:rPr>
        <w:t xml:space="preserve">5. </w:t>
      </w:r>
      <w:r>
        <w:t>Cancellation Fee Triggered. Under Contract ¶ 5 provides that upon termination, "any hours that exceeded the previous under contract period average, that were documented through ticketing, will be charged at a rate of $150 per hour and will be assessed as the cancellation fee to the client and due before agreement is terminated."</w:t>
      </w:r>
    </w:p>
    <w:p>
      <w:pPr>
        <w:jc w:val="both"/>
      </w:pPr>
      <w:r>
        <w:rPr>
          <w:b/>
        </w:rPr>
        <w:t xml:space="preserve">6. </w:t>
      </w:r>
      <w:r>
        <w:t>Final Invoice. Technijian issued the final (cancellation-fee) invoice on June 27, 2025, with payment due July 27, 2025. Vintage Design has not paid.</w:t>
      </w:r>
    </w:p>
    <w:p>
      <w:pPr>
        <w:jc w:val="both"/>
      </w:pPr>
      <w:r>
        <w:rPr>
          <w:b/>
        </w:rPr>
        <w:t xml:space="preserve">7. </w:t>
      </w:r>
      <w:r>
        <w:t>Dual Dispute Windows — Weekly + Monthly — Both Unchallenged for 27 Months. Throughout the entire ~27-month performance period, Technijian provided Vintage Design with two separate, documented opportunities to dispute any hour of work: (a) weekly zero-dollar invoices enumerating every ticket, time entry, technician, start/end timestamps, and hours worked during that week, accompanied by a 30-day window to dispute any work performed — approximately 140 such weekly notices across the life of the Agreement; and (b) monthly invoices with the 60-day objection window in T&amp;C § 3.01. Vintage Design disputed none of the weekly notices and none of the monthly invoices. T&amp;C § 3.01 provides that absent timely objection, Client "shall be deemed to have accepted without question such invoice or bill and may not in the future contest the amount it paid or seek reimbursement for any discrepancies."</w:t>
      </w:r>
    </w:p>
    <w:p>
      <w:pPr>
        <w:jc w:val="both"/>
      </w:pPr>
      <w:r>
        <w:rPr>
          <w:b/>
        </w:rPr>
        <w:t xml:space="preserve">8. </w:t>
      </w:r>
      <w:r>
        <w:t>Fee-Shifting and Late Fee. The Agreement entitles Technijian to (a) a 10% late fee on unpaid invoices (Other Terms ¶ 3); (b) attorneys' fees via the T&amp;C § 5.02 indemnity, made reciprocal by Cal. Civ. Code § 1717; and (c) prejudgment interest under California law.</w:t>
      </w:r>
    </w:p>
    <w:p>
      <w:pPr>
        <w:spacing w:before="240" w:after="120"/>
      </w:pPr>
      <w:r>
        <w:rPr>
          <w:b/>
          <w:color w:val="1F4E79"/>
          <w:sz w:val="24"/>
        </w:rPr>
        <w:t>IV. CANCELLATION FEE — CONTRACT MECHANICS</w:t>
      </w:r>
    </w:p>
    <w:p>
      <w:pPr>
        <w:jc w:val="both"/>
      </w:pPr>
      <w:r>
        <w:rPr>
          <w:b w:val="0"/>
          <w:i w:val="0"/>
        </w:rPr>
        <w:t>The Agreement structures support into 12-month under-contract periods (¶ 1). Within each period: monthly invoicing is based on the previous period's average monthly hours, multiplied by the three contracted POD rates ($15/$30/$125) (¶ 3). Actual usage is documented contemporaneously through Technijian's ticketing system. At the end of each period, the average is recalculated for the next period with a prospective rate adjustment (¶¶ 3–4). Upon termination, hours that exceeded the previous under-contract period average, documented through ticketing, are charged at $150/hour and assessed as the cancellation fee (¶ 5).</w:t>
      </w:r>
    </w:p>
    <w:p>
      <w:pPr>
        <w:jc w:val="both"/>
      </w:pPr>
      <w:r>
        <w:rPr>
          <w:b w:val="0"/>
          <w:i w:val="0"/>
        </w:rPr>
        <w:t>Under Cal. Civ. Code § 1671(b), the cancellation provision is presumptively valid; the burden of proving unreasonableness falls on the challenger. Ridgley v. Topa Thrift &amp; Loan Assn. (1998) 17 Cal.4th 970, 977; Hitz v. First Interstate Bank (1995) 38 Cal.App.4th 274, 286–289. The $150 cancellation rate is reasonable on its face: it is tied to actual measured usage (ticketing data), and it sits at or below the Agreement's own "Out of Contract" rates for the same IRV-TS1 Tech Support category — $150/hour onsite normal and $200/hour onsite after-hours. A rate that does not exceed the bargained alternative rate is, as a matter of law, not a penalty. El Centro Mall, LLC v. Payless ShoeSource, Inc. (2009) 174 Cal.App.4th 58, 63.</w:t>
      </w:r>
    </w:p>
    <w:p>
      <w:pPr>
        <w:spacing w:before="240" w:after="120"/>
      </w:pPr>
      <w:r>
        <w:rPr>
          <w:b/>
          <w:color w:val="1F4E79"/>
          <w:sz w:val="24"/>
        </w:rPr>
        <w:t>V. DAMAGES — CALCULATED FROM TECHNIJIAN'S CONTEMPORANEOUS RECORDS</w:t>
      </w:r>
    </w:p>
    <w:p>
      <w:pPr>
        <w:jc w:val="both"/>
      </w:pPr>
      <w:r>
        <w:rPr>
          <w:b w:val="0"/>
          <w:i w:val="0"/>
        </w:rPr>
        <w:t>Technijian has reconciled every month of billed hours against every month of actual ticketed hours across the three contracted support categories for the entire contract life through the July 31, 2025 effective termination date: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3744"/>
          </w:tcPr>
          <w:p>
            <w:r>
              <w:rPr>
                <w:b/>
                <w:sz w:val="20"/>
              </w:rPr>
              <w:t>Contracted Category</w:t>
            </w:r>
          </w:p>
        </w:tc>
        <w:tc>
          <w:tcPr>
            <w:tcW w:type="dxa" w:w="1152"/>
          </w:tcPr>
          <w:p>
            <w:r>
              <w:rPr>
                <w:b/>
                <w:sz w:val="20"/>
              </w:rPr>
              <w:t>Rate</w:t>
            </w:r>
          </w:p>
        </w:tc>
        <w:tc>
          <w:tcPr>
            <w:tcW w:type="dxa" w:w="1584"/>
          </w:tcPr>
          <w:p>
            <w:r>
              <w:rPr>
                <w:b/>
                <w:sz w:val="20"/>
              </w:rPr>
              <w:t>Billed</w:t>
            </w:r>
          </w:p>
        </w:tc>
        <w:tc>
          <w:tcPr>
            <w:tcW w:type="dxa" w:w="1584"/>
          </w:tcPr>
          <w:p>
            <w:r>
              <w:rPr>
                <w:b/>
                <w:sz w:val="20"/>
              </w:rPr>
              <w:t>Actual</w:t>
            </w:r>
          </w:p>
        </w:tc>
        <w:tc>
          <w:tcPr>
            <w:tcW w:type="dxa" w:w="1584"/>
          </w:tcPr>
          <w:p>
            <w:r>
              <w:rPr>
                <w:b/>
                <w:sz w:val="20"/>
              </w:rPr>
              <w:t>Net Excess</w:t>
            </w:r>
          </w:p>
        </w:tc>
      </w:tr>
      <w:tr>
        <w:tc>
          <w:tcPr>
            <w:tcW w:type="dxa" w:w="3744"/>
          </w:tcPr>
          <w:p>
            <w:r>
              <w:rPr>
                <w:sz w:val="20"/>
              </w:rPr>
              <w:t>Offshore Normal (CHD-TS1 R.N)</w:t>
            </w:r>
          </w:p>
        </w:tc>
        <w:tc>
          <w:tcPr>
            <w:tcW w:type="dxa" w:w="1152"/>
          </w:tcPr>
          <w:p>
            <w:r>
              <w:rPr>
                <w:sz w:val="20"/>
              </w:rPr>
              <w:t>$15/hr</w:t>
            </w:r>
          </w:p>
        </w:tc>
        <w:tc>
          <w:tcPr>
            <w:tcW w:type="dxa" w:w="1584"/>
          </w:tcPr>
          <w:p>
            <w:r>
              <w:rPr>
                <w:sz w:val="20"/>
              </w:rPr>
              <w:t>1,760.42</w:t>
            </w:r>
          </w:p>
        </w:tc>
        <w:tc>
          <w:tcPr>
            <w:tcW w:type="dxa" w:w="1584"/>
          </w:tcPr>
          <w:p>
            <w:r>
              <w:rPr>
                <w:sz w:val="20"/>
              </w:rPr>
              <w:t>2,682.18</w:t>
            </w:r>
          </w:p>
        </w:tc>
        <w:tc>
          <w:tcPr>
            <w:tcW w:type="dxa" w:w="1584"/>
          </w:tcPr>
          <w:p>
            <w:r>
              <w:rPr>
                <w:sz w:val="20"/>
              </w:rPr>
              <w:t>+921.76</w:t>
            </w:r>
          </w:p>
        </w:tc>
      </w:tr>
      <w:tr>
        <w:tc>
          <w:tcPr>
            <w:tcW w:type="dxa" w:w="3744"/>
          </w:tcPr>
          <w:p>
            <w:r>
              <w:rPr>
                <w:sz w:val="20"/>
              </w:rPr>
              <w:t>Offshore After-Hours (CHD-TS1 R.AF)</w:t>
            </w:r>
          </w:p>
        </w:tc>
        <w:tc>
          <w:tcPr>
            <w:tcW w:type="dxa" w:w="1152"/>
          </w:tcPr>
          <w:p>
            <w:r>
              <w:rPr>
                <w:sz w:val="20"/>
              </w:rPr>
              <w:t>$30/hr</w:t>
            </w:r>
          </w:p>
        </w:tc>
        <w:tc>
          <w:tcPr>
            <w:tcW w:type="dxa" w:w="1584"/>
          </w:tcPr>
          <w:p>
            <w:r>
              <w:rPr>
                <w:sz w:val="20"/>
              </w:rPr>
              <w:t>1,308.91</w:t>
            </w:r>
          </w:p>
        </w:tc>
        <w:tc>
          <w:tcPr>
            <w:tcW w:type="dxa" w:w="1584"/>
          </w:tcPr>
          <w:p>
            <w:r>
              <w:rPr>
                <w:sz w:val="20"/>
              </w:rPr>
              <w:t>1,801.09</w:t>
            </w:r>
          </w:p>
        </w:tc>
        <w:tc>
          <w:tcPr>
            <w:tcW w:type="dxa" w:w="1584"/>
          </w:tcPr>
          <w:p>
            <w:r>
              <w:rPr>
                <w:sz w:val="20"/>
              </w:rPr>
              <w:t>+492.18</w:t>
            </w:r>
          </w:p>
        </w:tc>
      </w:tr>
      <w:tr>
        <w:tc>
          <w:tcPr>
            <w:tcW w:type="dxa" w:w="3744"/>
          </w:tcPr>
          <w:p>
            <w:r>
              <w:rPr>
                <w:sz w:val="20"/>
              </w:rPr>
              <w:t>Onshore Remote Normal (IRV-TS1 R.N)</w:t>
            </w:r>
          </w:p>
        </w:tc>
        <w:tc>
          <w:tcPr>
            <w:tcW w:type="dxa" w:w="1152"/>
          </w:tcPr>
          <w:p>
            <w:r>
              <w:rPr>
                <w:sz w:val="20"/>
              </w:rPr>
              <w:t>$125/hr</w:t>
            </w:r>
          </w:p>
        </w:tc>
        <w:tc>
          <w:tcPr>
            <w:tcW w:type="dxa" w:w="1584"/>
          </w:tcPr>
          <w:p>
            <w:r>
              <w:rPr>
                <w:sz w:val="20"/>
              </w:rPr>
              <w:t>540.00</w:t>
            </w:r>
          </w:p>
        </w:tc>
        <w:tc>
          <w:tcPr>
            <w:tcW w:type="dxa" w:w="1584"/>
          </w:tcPr>
          <w:p>
            <w:r>
              <w:rPr>
                <w:sz w:val="20"/>
              </w:rPr>
              <w:t>456.82</w:t>
            </w:r>
          </w:p>
        </w:tc>
        <w:tc>
          <w:tcPr>
            <w:tcW w:type="dxa" w:w="1584"/>
          </w:tcPr>
          <w:p>
            <w:r>
              <w:rPr>
                <w:sz w:val="20"/>
              </w:rPr>
              <w:t>−83.18</w:t>
            </w:r>
          </w:p>
        </w:tc>
      </w:tr>
      <w:tr>
        <w:tc>
          <w:tcPr>
            <w:tcW w:type="dxa" w:w="3744"/>
          </w:tcPr>
          <w:p>
            <w:r>
              <w:rPr>
                <w:sz w:val="20"/>
              </w:rPr>
              <w:t>TOTALS</w:t>
            </w:r>
          </w:p>
        </w:tc>
        <w:tc>
          <w:tcPr>
            <w:tcW w:type="dxa" w:w="1152"/>
          </w:tcPr>
          <w:p>
            <w:r>
              <w:rPr>
                <w:sz w:val="20"/>
              </w:rPr>
            </w:r>
          </w:p>
        </w:tc>
        <w:tc>
          <w:tcPr>
            <w:tcW w:type="dxa" w:w="1584"/>
          </w:tcPr>
          <w:p>
            <w:r>
              <w:rPr>
                <w:sz w:val="20"/>
              </w:rPr>
              <w:t>3,609.33</w:t>
            </w:r>
          </w:p>
        </w:tc>
        <w:tc>
          <w:tcPr>
            <w:tcW w:type="dxa" w:w="1584"/>
          </w:tcPr>
          <w:p>
            <w:r>
              <w:rPr>
                <w:sz w:val="20"/>
              </w:rPr>
              <w:t>4,940.09</w:t>
            </w:r>
          </w:p>
        </w:tc>
        <w:tc>
          <w:tcPr>
            <w:tcW w:type="dxa" w:w="1584"/>
          </w:tcPr>
          <w:p>
            <w:r>
              <w:rPr>
                <w:sz w:val="20"/>
              </w:rPr>
              <w:t>+1,330.76</w:t>
            </w:r>
          </w:p>
        </w:tc>
      </w:tr>
    </w:tbl>
    <w:p/>
    <w:p>
      <w:pPr>
        <w:spacing w:before="240" w:after="120"/>
      </w:pPr>
      <w:r>
        <w:rPr>
          <w:b/>
          <w:sz w:val="22"/>
        </w:rPr>
        <w:t>Period-by-Period</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3744"/>
          </w:tcPr>
          <w:p>
            <w:r>
              <w:rPr>
                <w:b/>
                <w:sz w:val="20"/>
              </w:rPr>
              <w:t>Under-Contract Period</w:t>
            </w:r>
          </w:p>
        </w:tc>
        <w:tc>
          <w:tcPr>
            <w:tcW w:type="dxa" w:w="1152"/>
          </w:tcPr>
          <w:p>
            <w:r>
              <w:rPr>
                <w:b/>
                <w:sz w:val="20"/>
              </w:rPr>
              <w:t>Months</w:t>
            </w:r>
          </w:p>
        </w:tc>
        <w:tc>
          <w:tcPr>
            <w:tcW w:type="dxa" w:w="1584"/>
          </w:tcPr>
          <w:p>
            <w:r>
              <w:rPr>
                <w:b/>
                <w:sz w:val="20"/>
              </w:rPr>
              <w:t>Billed</w:t>
            </w:r>
          </w:p>
        </w:tc>
        <w:tc>
          <w:tcPr>
            <w:tcW w:type="dxa" w:w="1584"/>
          </w:tcPr>
          <w:p>
            <w:r>
              <w:rPr>
                <w:b/>
                <w:sz w:val="20"/>
              </w:rPr>
              <w:t>Actual</w:t>
            </w:r>
          </w:p>
        </w:tc>
        <w:tc>
          <w:tcPr>
            <w:tcW w:type="dxa" w:w="1584"/>
          </w:tcPr>
          <w:p>
            <w:r>
              <w:rPr>
                <w:b/>
                <w:sz w:val="20"/>
              </w:rPr>
              <w:t>Excess</w:t>
            </w:r>
          </w:p>
        </w:tc>
      </w:tr>
      <w:tr>
        <w:tc>
          <w:tcPr>
            <w:tcW w:type="dxa" w:w="3744"/>
          </w:tcPr>
          <w:p>
            <w:r>
              <w:rPr>
                <w:sz w:val="20"/>
              </w:rPr>
              <w:t>P1 — May 2023 – Apr 2024</w:t>
            </w:r>
          </w:p>
        </w:tc>
        <w:tc>
          <w:tcPr>
            <w:tcW w:type="dxa" w:w="1152"/>
          </w:tcPr>
          <w:p>
            <w:r>
              <w:rPr>
                <w:sz w:val="20"/>
              </w:rPr>
              <w:t>12</w:t>
            </w:r>
          </w:p>
        </w:tc>
        <w:tc>
          <w:tcPr>
            <w:tcW w:type="dxa" w:w="1584"/>
          </w:tcPr>
          <w:p>
            <w:r>
              <w:rPr>
                <w:sz w:val="20"/>
              </w:rPr>
              <w:t>960.00</w:t>
            </w:r>
          </w:p>
        </w:tc>
        <w:tc>
          <w:tcPr>
            <w:tcW w:type="dxa" w:w="1584"/>
          </w:tcPr>
          <w:p>
            <w:r>
              <w:rPr>
                <w:sz w:val="20"/>
              </w:rPr>
              <w:t>1,970.97</w:t>
            </w:r>
          </w:p>
        </w:tc>
        <w:tc>
          <w:tcPr>
            <w:tcW w:type="dxa" w:w="1584"/>
          </w:tcPr>
          <w:p>
            <w:r>
              <w:rPr>
                <w:sz w:val="20"/>
              </w:rPr>
              <w:t>+1,010.97</w:t>
            </w:r>
          </w:p>
        </w:tc>
      </w:tr>
      <w:tr>
        <w:tc>
          <w:tcPr>
            <w:tcW w:type="dxa" w:w="3744"/>
          </w:tcPr>
          <w:p>
            <w:r>
              <w:rPr>
                <w:sz w:val="20"/>
              </w:rPr>
              <w:t>P2 — May 2024 – Apr 2025</w:t>
            </w:r>
          </w:p>
        </w:tc>
        <w:tc>
          <w:tcPr>
            <w:tcW w:type="dxa" w:w="1152"/>
          </w:tcPr>
          <w:p>
            <w:r>
              <w:rPr>
                <w:sz w:val="20"/>
              </w:rPr>
              <w:t>12</w:t>
            </w:r>
          </w:p>
        </w:tc>
        <w:tc>
          <w:tcPr>
            <w:tcW w:type="dxa" w:w="1584"/>
          </w:tcPr>
          <w:p>
            <w:r>
              <w:rPr>
                <w:sz w:val="20"/>
              </w:rPr>
              <w:t>2,025.08</w:t>
            </w:r>
          </w:p>
        </w:tc>
        <w:tc>
          <w:tcPr>
            <w:tcW w:type="dxa" w:w="1584"/>
          </w:tcPr>
          <w:p>
            <w:r>
              <w:rPr>
                <w:sz w:val="20"/>
              </w:rPr>
              <w:t>2,584.18</w:t>
            </w:r>
          </w:p>
        </w:tc>
        <w:tc>
          <w:tcPr>
            <w:tcW w:type="dxa" w:w="1584"/>
          </w:tcPr>
          <w:p>
            <w:r>
              <w:rPr>
                <w:sz w:val="20"/>
              </w:rPr>
              <w:t>+559.10</w:t>
            </w:r>
          </w:p>
        </w:tc>
      </w:tr>
      <w:tr>
        <w:tc>
          <w:tcPr>
            <w:tcW w:type="dxa" w:w="3744"/>
          </w:tcPr>
          <w:p>
            <w:r>
              <w:rPr>
                <w:sz w:val="20"/>
              </w:rPr>
              <w:t>P3 (terminated) — May 2025 – Jul 2025</w:t>
            </w:r>
          </w:p>
        </w:tc>
        <w:tc>
          <w:tcPr>
            <w:tcW w:type="dxa" w:w="1152"/>
          </w:tcPr>
          <w:p>
            <w:r>
              <w:rPr>
                <w:sz w:val="20"/>
              </w:rPr>
              <w:t>3</w:t>
            </w:r>
          </w:p>
        </w:tc>
        <w:tc>
          <w:tcPr>
            <w:tcW w:type="dxa" w:w="1584"/>
          </w:tcPr>
          <w:p>
            <w:r>
              <w:rPr>
                <w:sz w:val="20"/>
              </w:rPr>
              <w:t>624.25</w:t>
            </w:r>
          </w:p>
        </w:tc>
        <w:tc>
          <w:tcPr>
            <w:tcW w:type="dxa" w:w="1584"/>
          </w:tcPr>
          <w:p>
            <w:r>
              <w:rPr>
                <w:sz w:val="20"/>
              </w:rPr>
              <w:t>384.94</w:t>
            </w:r>
          </w:p>
        </w:tc>
        <w:tc>
          <w:tcPr>
            <w:tcW w:type="dxa" w:w="1584"/>
          </w:tcPr>
          <w:p>
            <w:r>
              <w:rPr>
                <w:sz w:val="20"/>
              </w:rPr>
              <w:t>−239.31</w:t>
            </w:r>
          </w:p>
        </w:tc>
      </w:tr>
    </w:tbl>
    <w:p/>
    <w:p>
      <w:pPr>
        <w:spacing w:before="240" w:after="120"/>
      </w:pPr>
      <w:r>
        <w:rPr>
          <w:b/>
          <w:sz w:val="22"/>
        </w:rPr>
        <w:t>Damages Computation</w:t>
      </w:r>
    </w:p>
    <w:tbl>
      <w:tblPr>
        <w:tblStyle w:val="LightGrid-Accent1"/>
        <w:tblW w:type="auto" w:w="0"/>
        <w:tblLook w:firstColumn="1" w:firstRow="1" w:lastColumn="0" w:lastRow="0" w:noHBand="0" w:noVBand="1" w:val="04A0"/>
      </w:tblPr>
      <w:tblGrid>
        <w:gridCol w:w="4680"/>
        <w:gridCol w:w="4680"/>
      </w:tblGrid>
      <w:tr>
        <w:tc>
          <w:tcPr>
            <w:tcW w:type="dxa" w:w="6768"/>
          </w:tcPr>
          <w:p>
            <w:r>
              <w:rPr>
                <w:b/>
                <w:sz w:val="20"/>
              </w:rPr>
              <w:t>Item</w:t>
            </w:r>
          </w:p>
        </w:tc>
        <w:tc>
          <w:tcPr>
            <w:tcW w:type="dxa" w:w="2592"/>
          </w:tcPr>
          <w:p>
            <w:r>
              <w:rPr>
                <w:b/>
                <w:sz w:val="20"/>
              </w:rPr>
              <w:t>Amount</w:t>
            </w:r>
          </w:p>
        </w:tc>
      </w:tr>
      <w:tr>
        <w:tc>
          <w:tcPr>
            <w:tcW w:type="dxa" w:w="6768"/>
          </w:tcPr>
          <w:p>
            <w:r>
              <w:rPr>
                <w:sz w:val="20"/>
              </w:rPr>
              <w:t>Excess hours (per Demand ¶ 40)</w:t>
            </w:r>
          </w:p>
        </w:tc>
        <w:tc>
          <w:tcPr>
            <w:tcW w:type="dxa" w:w="2592"/>
          </w:tcPr>
          <w:p>
            <w:r>
              <w:rPr>
                <w:sz w:val="20"/>
              </w:rPr>
              <w:t>1,457.50</w:t>
            </w:r>
          </w:p>
        </w:tc>
      </w:tr>
      <w:tr>
        <w:tc>
          <w:tcPr>
            <w:tcW w:type="dxa" w:w="6768"/>
          </w:tcPr>
          <w:p>
            <w:r>
              <w:rPr>
                <w:sz w:val="20"/>
              </w:rPr>
              <w:t>Cancellation rate per signed Agreement</w:t>
            </w:r>
          </w:p>
        </w:tc>
        <w:tc>
          <w:tcPr>
            <w:tcW w:type="dxa" w:w="2592"/>
          </w:tcPr>
          <w:p>
            <w:r>
              <w:rPr>
                <w:sz w:val="20"/>
              </w:rPr>
              <w:t>× $150.00</w:t>
            </w:r>
          </w:p>
        </w:tc>
      </w:tr>
      <w:tr>
        <w:tc>
          <w:tcPr>
            <w:tcW w:type="dxa" w:w="6768"/>
          </w:tcPr>
          <w:p>
            <w:r>
              <w:rPr>
                <w:sz w:val="20"/>
              </w:rPr>
              <w:t>Cancellation Fee Subtotal</w:t>
            </w:r>
          </w:p>
        </w:tc>
        <w:tc>
          <w:tcPr>
            <w:tcW w:type="dxa" w:w="2592"/>
          </w:tcPr>
          <w:p>
            <w:r>
              <w:rPr>
                <w:sz w:val="20"/>
              </w:rPr>
              <w:t>$218,625.00</w:t>
            </w:r>
          </w:p>
        </w:tc>
      </w:tr>
      <w:tr>
        <w:tc>
          <w:tcPr>
            <w:tcW w:type="dxa" w:w="6768"/>
          </w:tcPr>
          <w:p>
            <w:r>
              <w:rPr>
                <w:sz w:val="20"/>
              </w:rPr>
              <w:t>+ 10% late fee (Other Terms ¶ 3)</w:t>
            </w:r>
          </w:p>
        </w:tc>
        <w:tc>
          <w:tcPr>
            <w:tcW w:type="dxa" w:w="2592"/>
          </w:tcPr>
          <w:p>
            <w:r>
              <w:rPr>
                <w:sz w:val="20"/>
              </w:rPr>
              <w:t>$21,862.50</w:t>
            </w:r>
          </w:p>
        </w:tc>
      </w:tr>
      <w:tr>
        <w:tc>
          <w:tcPr>
            <w:tcW w:type="dxa" w:w="6768"/>
          </w:tcPr>
          <w:p>
            <w:r>
              <w:rPr>
                <w:sz w:val="20"/>
              </w:rPr>
              <w:t>Cancellation Fee + Late Fee (Demand pleaded $240,555.15)</w:t>
            </w:r>
          </w:p>
        </w:tc>
        <w:tc>
          <w:tcPr>
            <w:tcW w:type="dxa" w:w="2592"/>
          </w:tcPr>
          <w:p>
            <w:r>
              <w:rPr>
                <w:sz w:val="20"/>
              </w:rPr>
              <w:t>$240,487.50</w:t>
            </w:r>
          </w:p>
        </w:tc>
      </w:tr>
      <w:tr>
        <w:tc>
          <w:tcPr>
            <w:tcW w:type="dxa" w:w="6768"/>
          </w:tcPr>
          <w:p>
            <w:r>
              <w:rPr>
                <w:sz w:val="20"/>
              </w:rPr>
              <w:t>+ Prejudgment interest at 10% per annum from 7/27/2025 (~9 months)</w:t>
            </w:r>
          </w:p>
        </w:tc>
        <w:tc>
          <w:tcPr>
            <w:tcW w:type="dxa" w:w="2592"/>
          </w:tcPr>
          <w:p>
            <w:r>
              <w:rPr>
                <w:sz w:val="20"/>
              </w:rPr>
              <w:t>~$18,042</w:t>
            </w:r>
          </w:p>
        </w:tc>
      </w:tr>
      <w:tr>
        <w:tc>
          <w:tcPr>
            <w:tcW w:type="dxa" w:w="6768"/>
          </w:tcPr>
          <w:p>
            <w:r>
              <w:rPr>
                <w:sz w:val="20"/>
              </w:rPr>
              <w:t>+ Reasonable attorneys' fees via § 5.02 + § 1717 through award</w:t>
            </w:r>
          </w:p>
        </w:tc>
        <w:tc>
          <w:tcPr>
            <w:tcW w:type="dxa" w:w="2592"/>
          </w:tcPr>
          <w:p>
            <w:r>
              <w:rPr>
                <w:sz w:val="20"/>
              </w:rPr>
              <w:t>~$60,000–$110,000</w:t>
            </w:r>
          </w:p>
        </w:tc>
      </w:tr>
      <w:tr>
        <w:tc>
          <w:tcPr>
            <w:tcW w:type="dxa" w:w="6768"/>
          </w:tcPr>
          <w:p>
            <w:r>
              <w:rPr>
                <w:sz w:val="20"/>
              </w:rPr>
              <w:t>Total Recoverable at Award</w:t>
            </w:r>
          </w:p>
        </w:tc>
        <w:tc>
          <w:tcPr>
            <w:tcW w:type="dxa" w:w="2592"/>
          </w:tcPr>
          <w:p>
            <w:r>
              <w:rPr>
                <w:sz w:val="20"/>
              </w:rPr>
              <w:t>~$325,000–$370,000</w:t>
            </w:r>
          </w:p>
        </w:tc>
      </w:tr>
    </w:tbl>
    <w:p>
      <w:pPr>
        <w:jc w:val="both"/>
      </w:pPr>
      <w:r>
        <w:rPr>
          <w:b w:val="0"/>
          <w:i w:val="0"/>
        </w:rPr>
        <w:t>This calculation is supported by Technijian's ticketing system extracts and QuickBooks ledger, both admissible business records under Cal. Evid. Code §§ 1271, 1552, and 1553. Jazayeri v. Mao (2009) 174 Cal.App.4th 301, 324; Aguimatang v. California State Lottery (1991) 234 Cal.App.3d 769, 797–798. Because the cancellation fee is a liquidated damages provision tied to contemporaneous measured data at a stipulated rate, the certainty of damages requirement is satisfied as a matter of law. Sargon Enterprises, Inc. v. University of Southern California (2012) 55 Cal.4th 747, 773–775; Toscano v. Greene Music (2004) 124 Cal.App.4th 685, 694.</w:t>
      </w:r>
    </w:p>
    <w:p>
      <w:pPr>
        <w:spacing w:before="240" w:after="120"/>
      </w:pPr>
      <w:r>
        <w:rPr>
          <w:b/>
          <w:color w:val="1F4E79"/>
          <w:sz w:val="24"/>
        </w:rPr>
        <w:t>VI. LEGAL AUTHORITIES SUPPORTING TECHNIJIAN'S POSITION</w:t>
      </w:r>
    </w:p>
    <w:p>
      <w:pPr>
        <w:spacing w:before="240" w:after="120"/>
      </w:pPr>
      <w:r>
        <w:rPr>
          <w:b/>
          <w:sz w:val="22"/>
        </w:rPr>
        <w:t>A. Breach of Contract (First Cause of Action)</w:t>
      </w:r>
    </w:p>
    <w:p>
      <w:pPr>
        <w:jc w:val="both"/>
      </w:pPr>
      <w:r>
        <w:rPr>
          <w:b w:val="0"/>
          <w:i w:val="0"/>
        </w:rPr>
        <w:t>Oasis West Realty, LLC v. Goldman (2011) 51 Cal.4th 811, 821; Reichert v. General Ins. Co. (1968) 68 Cal.2d 822, 830.</w:t>
      </w:r>
    </w:p>
    <w:p>
      <w:pPr>
        <w:spacing w:before="240" w:after="120"/>
      </w:pPr>
      <w:r>
        <w:rPr>
          <w:b/>
          <w:sz w:val="22"/>
        </w:rPr>
        <w:t>B. Open Book Account (Second Cause of Action)</w:t>
      </w:r>
    </w:p>
    <w:p>
      <w:pPr>
        <w:jc w:val="both"/>
      </w:pPr>
      <w:r>
        <w:rPr>
          <w:b w:val="0"/>
          <w:i w:val="0"/>
        </w:rPr>
        <w:t>Cal. Code Civ. Proc. § 337a; Interstate Group Administrators, Inc. v. Cravens, Dargan &amp; Co. (1985) 174 Cal.App.3d 700, 708; R.N.C. Inc. v. Tsegeletos (1991) 231 Cal.App.3d 967, 971–972.</w:t>
      </w:r>
    </w:p>
    <w:p>
      <w:pPr>
        <w:spacing w:before="240" w:after="120"/>
      </w:pPr>
      <w:r>
        <w:rPr>
          <w:b/>
          <w:sz w:val="22"/>
        </w:rPr>
        <w:t>C. Account Stated (Third Cause of Action)</w:t>
      </w:r>
    </w:p>
    <w:p>
      <w:pPr>
        <w:jc w:val="both"/>
      </w:pPr>
      <w:r>
        <w:rPr>
          <w:b w:val="0"/>
          <w:i w:val="0"/>
        </w:rPr>
        <w:t>Zinn v. Fred R. Bright Co. (1969) 271 Cal.App.2d 597, 600; Trafton v. Youngblood (1968) 69 Cal.2d 17, 25; Gleason v. Klamer (1980) 103 Cal.App.3d 782, 787.</w:t>
      </w:r>
    </w:p>
    <w:p>
      <w:pPr>
        <w:spacing w:before="240" w:after="120"/>
      </w:pPr>
      <w:r>
        <w:rPr>
          <w:b/>
          <w:sz w:val="22"/>
        </w:rPr>
        <w:t>D. Services Rendered / Quantum Meruit (Fourth Cause of Action, Alternative)</w:t>
      </w:r>
    </w:p>
    <w:p>
      <w:pPr>
        <w:jc w:val="both"/>
      </w:pPr>
      <w:r>
        <w:rPr>
          <w:b w:val="0"/>
          <w:i w:val="0"/>
        </w:rPr>
        <w:t>Huskinson &amp; Brown v. Wolf (2004) 32 Cal.4th 453, 458; Maglica v. Maglica (1998) 66 Cal.App.4th 442.</w:t>
      </w:r>
    </w:p>
    <w:p>
      <w:pPr>
        <w:spacing w:before="240" w:after="120"/>
      </w:pPr>
      <w:r>
        <w:rPr>
          <w:b/>
          <w:sz w:val="22"/>
        </w:rPr>
        <w:t>E. Liquidated Damages Enforceability (Cancellation Fee)</w:t>
      </w:r>
    </w:p>
    <w:p>
      <w:pPr>
        <w:jc w:val="both"/>
      </w:pPr>
      <w:r>
        <w:rPr>
          <w:b w:val="0"/>
          <w:i w:val="0"/>
        </w:rPr>
        <w:t>Cal. Civ. Code § 1671(b); Ridgley v. Topa Thrift &amp; Loan Assn. (1998) 17 Cal.4th 970; Hitz v. First Interstate Bank (1995) 38 Cal.App.4th 274; El Centro Mall, LLC v. Payless ShoeSource, Inc. (2009) 174 Cal.App.4th 58; Greentree Financial Group v. Execute Sports, Inc. (2008) 163 Cal.App.4th 495. The $150 cancellation rate is below the Agreement's own out-of-contract alternative rates of $150–$200/hour — foreclosing any penalty argument as a matter of law.</w:t>
      </w:r>
    </w:p>
    <w:p>
      <w:pPr>
        <w:spacing w:before="240" w:after="120"/>
      </w:pPr>
      <w:r>
        <w:rPr>
          <w:b/>
          <w:sz w:val="22"/>
        </w:rPr>
        <w:t>F. Late Fee</w:t>
      </w:r>
    </w:p>
    <w:p>
      <w:pPr>
        <w:jc w:val="both"/>
      </w:pPr>
      <w:r>
        <w:rPr>
          <w:b w:val="0"/>
          <w:i w:val="0"/>
        </w:rPr>
        <w:t>Garrett v. Coast &amp; Southern Fed. Sav. &amp; Loan Assn. (1973) 9 Cal.3d 731, 738–740; Beasley v. Wells Fargo Bank (1991) 235 Cal.App.3d 1383.</w:t>
      </w:r>
    </w:p>
    <w:p>
      <w:pPr>
        <w:spacing w:before="240" w:after="120"/>
      </w:pPr>
      <w:r>
        <w:rPr>
          <w:b/>
          <w:sz w:val="22"/>
        </w:rPr>
        <w:t>G. Attorneys' Fees — Recoverable via § 5.02 Indemnity + § 1717 Reciprocity</w:t>
      </w:r>
    </w:p>
    <w:p>
      <w:pPr>
        <w:jc w:val="both"/>
      </w:pPr>
      <w:r>
        <w:rPr>
          <w:b w:val="0"/>
          <w:i w:val="0"/>
        </w:rPr>
        <w:t>T&amp;C § 5.02 provides that Vintage Design shall indemnify Technijian for attorneys' fees incurred as a result of "any failure by Client…to comply with the terms of this Agreement." Non-payment of the cancellation fee is such a failure. Cal. Civ. Code § 1717 renders the indemnity reciprocal. Santisas v. Goodin (1998) 17 Cal.4th 599, 610–611; PLCM Group, Inc. v. Drexler (2000) 22 Cal.4th 1084, 1095. Arbitrator has plenary authority. Moshonov v. Walsh (2000) 22 Cal.4th 771, 776; Advanced Micro Devices v. Intel Corp. (1994) 9 Cal.4th 362, 375–376; AAA Commercial Rule R-47(d)(ii).</w:t>
      </w:r>
    </w:p>
    <w:p>
      <w:pPr>
        <w:spacing w:before="240" w:after="120"/>
      </w:pPr>
      <w:r>
        <w:rPr>
          <w:b/>
          <w:sz w:val="22"/>
        </w:rPr>
        <w:t>H. Prejudgment Interest — 10% Per Annum</w:t>
      </w:r>
    </w:p>
    <w:p>
      <w:pPr>
        <w:jc w:val="both"/>
      </w:pPr>
      <w:r>
        <w:rPr>
          <w:b w:val="0"/>
          <w:i w:val="0"/>
        </w:rPr>
        <w:t>Cal. Civ. Code §§ 3287(a), 3289(b); Wisper Corp. v. California Commerce Bank (1996) 49 Cal.App.4th 948, 958–960; North Oakland Med. Clinic v. Rogers (1998) 65 Cal.App.4th 824, 829–830.</w:t>
      </w:r>
    </w:p>
    <w:p>
      <w:pPr>
        <w:spacing w:before="240" w:after="120"/>
      </w:pPr>
      <w:r>
        <w:rPr>
          <w:b/>
          <w:sz w:val="22"/>
        </w:rPr>
        <w:t>I. Post-Judgment Interest — Additional 10% on Confirmed Award</w:t>
      </w:r>
    </w:p>
    <w:p>
      <w:pPr>
        <w:jc w:val="both"/>
      </w:pPr>
      <w:r>
        <w:rPr>
          <w:b w:val="0"/>
          <w:i w:val="0"/>
        </w:rPr>
        <w:t>Cal. Code Civ. Proc. § 685.010(a); Britz, Inc. v. Alfa-Laval Food &amp; Dairy Co. (1995) 34 Cal.App.4th 1085, 1107; Pierotti v. Torian (2000) 81 Cal.App.4th 17, 28.</w:t>
      </w:r>
    </w:p>
    <w:p>
      <w:pPr>
        <w:spacing w:before="240" w:after="120"/>
      </w:pPr>
      <w:r>
        <w:rPr>
          <w:b/>
          <w:sz w:val="22"/>
        </w:rPr>
        <w:t>J. DocuSign Signatures — Fully Enforceable</w:t>
      </w:r>
    </w:p>
    <w:p>
      <w:pPr>
        <w:jc w:val="both"/>
      </w:pPr>
      <w:r>
        <w:rPr>
          <w:b w:val="0"/>
          <w:i w:val="0"/>
        </w:rPr>
        <w:t>Cal. Civ. Code §§ 1633.7, 1633.9; Fabian v. Renovate America (2019) 42 Cal.App.5th 1062; J.B.B. Investment Partners v. Fair (2014) 232 Cal.App.4th 974; Ruiz v. Moss Bros. Auto Group (2014) 232 Cal.App.4th 836, 844. DocuSign Envelope ID B679C550 audit trail is prima facie authentication.</w:t>
      </w:r>
    </w:p>
    <w:p>
      <w:pPr>
        <w:spacing w:before="240" w:after="120"/>
      </w:pPr>
      <w:r>
        <w:rPr>
          <w:b/>
          <w:sz w:val="22"/>
        </w:rPr>
        <w:t>K. Arbitration Clause Enforceable and Final</w:t>
      </w:r>
    </w:p>
    <w:p>
      <w:pPr>
        <w:jc w:val="both"/>
      </w:pPr>
      <w:r>
        <w:rPr>
          <w:b w:val="0"/>
          <w:i w:val="0"/>
        </w:rPr>
        <w:t>AT&amp;T Mobility LLC v. Concepcion (2011) 563 U.S. 333; Moncharsh v. Heily &amp; Blase (1992) 3 Cal.4th 1; Pinnacle Museum Tower Assn. v. Pinnacle Market Development (2012) 55 Cal.4th 223. Confirmation under CCP § 1286; limited grounds for vacatur under § 1286.2.</w:t>
      </w:r>
    </w:p>
    <w:p>
      <w:pPr>
        <w:spacing w:before="240" w:after="120"/>
      </w:pPr>
      <w:r>
        <w:rPr>
          <w:b/>
          <w:color w:val="1F4E79"/>
          <w:sz w:val="24"/>
        </w:rPr>
        <w:t>VII. ANTICIPATED DEFENSES — AND TECHNIJIAN'S RESPONSES</w:t>
      </w:r>
    </w:p>
    <w:tbl>
      <w:tblPr>
        <w:tblStyle w:val="LightGrid-Accent1"/>
        <w:tblW w:type="auto" w:w="0"/>
        <w:tblLook w:firstColumn="1" w:firstRow="1" w:lastColumn="0" w:lastRow="0" w:noHBand="0" w:noVBand="1" w:val="04A0"/>
      </w:tblPr>
      <w:tblGrid>
        <w:gridCol w:w="4680"/>
        <w:gridCol w:w="4680"/>
      </w:tblGrid>
      <w:tr>
        <w:tc>
          <w:tcPr>
            <w:tcW w:type="dxa" w:w="2880"/>
          </w:tcPr>
          <w:p>
            <w:r>
              <w:rPr>
                <w:b/>
                <w:sz w:val="20"/>
              </w:rPr>
              <w:t>Anticipated Defense</w:t>
            </w:r>
          </w:p>
        </w:tc>
        <w:tc>
          <w:tcPr>
            <w:tcW w:type="dxa" w:w="6480"/>
          </w:tcPr>
          <w:p>
            <w:r>
              <w:rPr>
                <w:b/>
                <w:sz w:val="20"/>
              </w:rPr>
              <w:t>Response and Authority</w:t>
            </w:r>
          </w:p>
        </w:tc>
      </w:tr>
      <w:tr>
        <w:tc>
          <w:tcPr>
            <w:tcW w:type="dxa" w:w="2880"/>
          </w:tcPr>
          <w:p>
            <w:r>
              <w:rPr>
                <w:sz w:val="20"/>
              </w:rPr>
              <w:t>Signatory lacked authority</w:t>
            </w:r>
          </w:p>
        </w:tc>
        <w:tc>
          <w:tcPr>
            <w:tcW w:type="dxa" w:w="6480"/>
          </w:tcPr>
          <w:p>
            <w:r>
              <w:rPr>
                <w:sz w:val="20"/>
              </w:rPr>
              <w:t>Erica Garcia signed as VP Finance — a textbook officer title under Cal. Corp. Code § 313, conferring conclusive presumption of authority for third parties. Snukal v. Flightways Mfg., Inc. (2000) 23 Cal.4th 754, 782. DocuSign signature attributable as a matter of law. Cal. Civ. Code § 1633.9(a); Fabian v. Renovate America. Ratification by 27 months of paid performance. Rakestraw v. Rodrigues (1972) 8 Cal.3d 67, 73.</w:t>
            </w:r>
          </w:p>
        </w:tc>
      </w:tr>
      <w:tr>
        <w:tc>
          <w:tcPr>
            <w:tcW w:type="dxa" w:w="2880"/>
          </w:tcPr>
          <w:p>
            <w:r>
              <w:rPr>
                <w:sz w:val="20"/>
              </w:rPr>
              <w:t>Cancellation fee is a penalty / unconscionable</w:t>
            </w:r>
          </w:p>
        </w:tc>
        <w:tc>
          <w:tcPr>
            <w:tcW w:type="dxa" w:w="6480"/>
          </w:tcPr>
          <w:p>
            <w:r>
              <w:rPr>
                <w:sz w:val="20"/>
              </w:rPr>
              <w:t>Presumptively valid under § 1671(b); Respondent bears burden. Ridgley, Hitz, El Centro Mall. B2B sophisticated parties (VP Finance signed). Pinnacle Museum Tower (2012) 55 Cal.4th 223, 246–247; Sanchez v. Valencia Holding Co. (2015) 61 Cal.4th 899, 910–911. $150 rate is at or below the Agreement's own Out of Contract rates — not a penalty as a matter of law.</w:t>
            </w:r>
          </w:p>
        </w:tc>
      </w:tr>
      <w:tr>
        <w:tc>
          <w:tcPr>
            <w:tcW w:type="dxa" w:w="2880"/>
          </w:tcPr>
          <w:p>
            <w:r>
              <w:rPr>
                <w:sz w:val="20"/>
              </w:rPr>
              <w:t>Hours not used / records inaccurate</w:t>
            </w:r>
          </w:p>
        </w:tc>
        <w:tc>
          <w:tcPr>
            <w:tcW w:type="dxa" w:w="6480"/>
          </w:tcPr>
          <w:p>
            <w:r>
              <w:rPr>
                <w:sz w:val="20"/>
              </w:rPr>
              <w:t>Contemporaneous ticketing records admissible as business records. Cal. Evid. Code §§ 1271, 1552, 1553; Jazayeri v. Mao. Two independent waivers apply: (a) weekly zero-dollar invoices enumerating every ticket, with 30-day dispute window — ~140 weekly notices over 27 months, zero disputes filed; and (b) monthly invoices with 60-day objection window in T&amp;C § 3.01. Cobb v. Pacific Mut. Life Ins. Co. (1935) 4 Cal.2d 565, 573; Gleason v. Klamer (1980) 103 Cal.App.3d 782, 787. Cal. Comm. Code § 1303 (course of performance).</w:t>
            </w:r>
          </w:p>
        </w:tc>
      </w:tr>
      <w:tr>
        <w:tc>
          <w:tcPr>
            <w:tcW w:type="dxa" w:w="2880"/>
          </w:tcPr>
          <w:p>
            <w:r>
              <w:rPr>
                <w:sz w:val="20"/>
              </w:rPr>
              <w:t>Cancellation clause reaches only the terminated period (P3)</w:t>
            </w:r>
          </w:p>
        </w:tc>
        <w:tc>
          <w:tcPr>
            <w:tcW w:type="dxa" w:w="6480"/>
          </w:tcPr>
          <w:p>
            <w:r>
              <w:rPr>
                <w:sz w:val="20"/>
              </w:rPr>
              <w:t>Plain text reaches "any hours that exceeded the previous under contract period average" — cumulative and unqualified. Cal. Civ. Code §§ 1638, 1641; Powerine Oil Co. v. Superior Court (2005) 37 Cal.4th 377, 390–391. Reading to cover only P3 would render the clause meaningless.</w:t>
            </w:r>
          </w:p>
        </w:tc>
      </w:tr>
      <w:tr>
        <w:tc>
          <w:tcPr>
            <w:tcW w:type="dxa" w:w="2880"/>
          </w:tcPr>
          <w:p>
            <w:r>
              <w:rPr>
                <w:sz w:val="20"/>
              </w:rPr>
              <w:t>P1's excess was trued up</w:t>
            </w:r>
          </w:p>
        </w:tc>
        <w:tc>
          <w:tcPr>
            <w:tcW w:type="dxa" w:w="6480"/>
          </w:tcPr>
          <w:p>
            <w:r>
              <w:rPr>
                <w:sz w:val="20"/>
              </w:rPr>
              <w:t>¶¶ 3–4 describe prospective billing adjustments. Neither uses "release," "forgive," or "credit back." The averaging raises the going-forward billed baseline; it does not compensate Technijian retroactively for P1's 1,010.97 hours of delivered-but-unpaid excess. The cancellation fee is the sole mechanism for that compensation. MacKinnon v. Truck Ins. Exchange (2003) 31 Cal.4th 635, 648.</w:t>
            </w:r>
          </w:p>
        </w:tc>
      </w:tr>
      <w:tr>
        <w:tc>
          <w:tcPr>
            <w:tcW w:type="dxa" w:w="2880"/>
          </w:tcPr>
          <w:p>
            <w:r>
              <w:rPr>
                <w:sz w:val="20"/>
              </w:rPr>
              <w:t>Oral side-agreements modify written terms</w:t>
            </w:r>
          </w:p>
        </w:tc>
        <w:tc>
          <w:tcPr>
            <w:tcW w:type="dxa" w:w="6480"/>
          </w:tcPr>
          <w:p>
            <w:r>
              <w:rPr>
                <w:sz w:val="20"/>
              </w:rPr>
              <w:t>Barred by integration clause (T&amp;C § 6.08) and parol evidence rule. Cal. Code Civ. Proc. § 1856(a); Casa Herrera, Inc. v. Beydoun (2004) 32 Cal.4th 336, 343–344; Banco do Brasil v. Latian (1991) 234 Cal.App.3d 973, 1001–1002.</w:t>
            </w:r>
          </w:p>
        </w:tc>
      </w:tr>
      <w:tr>
        <w:tc>
          <w:tcPr>
            <w:tcW w:type="dxa" w:w="2880"/>
          </w:tcPr>
          <w:p>
            <w:r>
              <w:rPr>
                <w:sz w:val="20"/>
              </w:rPr>
              <w:t>Demand's Delaware LLC describes the wrong entity</w:t>
            </w:r>
          </w:p>
        </w:tc>
        <w:tc>
          <w:tcPr>
            <w:tcW w:type="dxa" w:w="6480"/>
          </w:tcPr>
          <w:p>
            <w:r>
              <w:rPr>
                <w:sz w:val="20"/>
              </w:rPr>
              <w:t>Minor caption correction; amendment is routine under AAA Rule R-6 and relates back. Hawkins v. Pacific Coast Bldg. Prods.; Mayberry v. Coca-Cola. Respondent's principals are on actual notice.</w:t>
            </w:r>
          </w:p>
        </w:tc>
      </w:tr>
    </w:tbl>
    <w:p>
      <w:pPr>
        <w:spacing w:before="240" w:after="120"/>
      </w:pPr>
      <w:r>
        <w:rPr>
          <w:b/>
          <w:color w:val="1F4E79"/>
          <w:sz w:val="24"/>
        </w:rPr>
        <w:t>VIII. ECONOMICS OF LITIGATION</w:t>
      </w:r>
    </w:p>
    <w:p>
      <w:pPr>
        <w:jc w:val="both"/>
      </w:pPr>
      <w:r>
        <w:rPr>
          <w:b w:val="0"/>
          <w:i w:val="0"/>
        </w:rPr>
        <w:t>1. Arbitration costs to award: estimated $30,000–$50,000 per side. 2. Technijian's attorneys' fees through award (contractually recoverable via § 5.02 + § 1717): estimated $60,000–$110,000 at this stage, growing monthly. 3. Prejudgment interest at 10% per annum on the $240,555.15 principal from July 27, 2025, adding approximately $2,005 per month. 4. Post-judgment interest at 10% per annum attaches on the confirmed award. Cal. Code Civ. Proc. § 685.010. 5. Confirmation of AAA awards is ministerial. Moncharsh. 6. Respondent's total exposure through award conservatively approaches $430,000–$520,000 by mid-2026, climbing thereafter.</w:t>
      </w:r>
    </w:p>
    <w:p>
      <w:pPr>
        <w:spacing w:before="240" w:after="120"/>
      </w:pPr>
      <w:r>
        <w:rPr>
          <w:b/>
          <w:color w:val="1F4E79"/>
          <w:sz w:val="24"/>
        </w:rPr>
        <w:t>IX. SETTLEMENT PROPOSAL</w:t>
      </w:r>
    </w:p>
    <w:p>
      <w:pPr>
        <w:jc w:val="both"/>
      </w:pPr>
      <w:r>
        <w:rPr>
          <w:b w:val="0"/>
          <w:i w:val="0"/>
        </w:rPr>
        <w:t>Technijian is prepared to resolve this matter now, prior to arbitrator appointment and commencement of depositions, on the following principal terms:</w:t>
      </w:r>
    </w:p>
    <w:p>
      <w:pPr>
        <w:jc w:val="both"/>
      </w:pPr>
      <w:r>
        <w:rPr>
          <w:b/>
        </w:rPr>
        <w:t xml:space="preserve">1. </w:t>
      </w:r>
      <w:r>
        <w:t>Payment to Technijian: $240,555.15, representing the cancellation fee ($218,625.00) plus contractual 10% late fee ($21,930.15), payable within fifteen (15) business days of mutual execution of a settlement agreement and joint dismissal of the arbitration with prejudice.</w:t>
      </w:r>
    </w:p>
    <w:p>
      <w:pPr>
        <w:jc w:val="both"/>
      </w:pPr>
      <w:r>
        <w:rPr>
          <w:b/>
        </w:rPr>
        <w:t xml:space="preserve">2. </w:t>
      </w:r>
      <w:r>
        <w:t>Mutual General Release of all claims arising from or relating to the Agreement, the Services, or the termination. Each side bears its own attorneys' fees and arbitration costs incurred to date — Technijian forgoes approximately $60,000–$110,000 in recoverable fees plus approximately $18,000 in accrued prejudgment interest, for an effective compromise of roughly $78,000–$128,000 off the fully-recoverable award figure.</w:t>
      </w:r>
    </w:p>
    <w:p>
      <w:pPr>
        <w:jc w:val="both"/>
      </w:pPr>
      <w:r>
        <w:rPr>
          <w:b/>
        </w:rPr>
        <w:t xml:space="preserve">3. </w:t>
      </w:r>
      <w:r>
        <w:t>Confidentiality customary for commercial settlements, consistent with Cal. Evid. Code §§ 1119, 1152 and Fed. R. Evid. 408.</w:t>
      </w:r>
    </w:p>
    <w:p>
      <w:pPr>
        <w:jc w:val="both"/>
      </w:pPr>
      <w:r>
        <w:rPr>
          <w:b/>
        </w:rPr>
        <w:t xml:space="preserve">4. </w:t>
      </w:r>
      <w:r>
        <w:t>Mutual non-disparagement.</w:t>
      </w:r>
    </w:p>
    <w:p>
      <w:pPr>
        <w:jc w:val="both"/>
      </w:pPr>
      <w:r>
        <w:rPr>
          <w:b/>
        </w:rPr>
        <w:t xml:space="preserve">5. </w:t>
      </w:r>
      <w:r>
        <w:t>Stipulated caption amendment of the Demand to conform to the four corners of the signed Agreement ("Vintage Design, a California corporation"), simultaneously filed with the dismissal.</w:t>
      </w:r>
    </w:p>
    <w:p>
      <w:pPr>
        <w:jc w:val="both"/>
      </w:pPr>
      <w:r>
        <w:rPr>
          <w:b w:val="0"/>
          <w:i w:val="0"/>
        </w:rPr>
        <w:t>This proposal represents 100% of the pleaded cancellation fee and late fee at the contractually correct $150/hour rate, with Technijian's compromise consisting of the fee-and-interest waiver described above. On a comprehensive-exposure basis, this is a discount of approximately 25–35% off Respondent's total projected through-award exposure.</w:t>
      </w:r>
    </w:p>
    <w:p>
      <w:pPr>
        <w:spacing w:before="240" w:after="120"/>
      </w:pPr>
      <w:r>
        <w:rPr>
          <w:b/>
          <w:color w:val="1F4E79"/>
          <w:sz w:val="24"/>
        </w:rPr>
        <w:t>X. NEXT STEPS</w:t>
      </w:r>
    </w:p>
    <w:p>
      <w:pPr>
        <w:jc w:val="both"/>
      </w:pPr>
      <w:r>
        <w:rPr>
          <w:b/>
        </w:rPr>
        <w:t xml:space="preserve">1. </w:t>
      </w:r>
      <w:r>
        <w:t>Respondent's counsel to provide a written response within fourteen (14) calendar days.</w:t>
      </w:r>
    </w:p>
    <w:p>
      <w:pPr>
        <w:jc w:val="both"/>
      </w:pPr>
      <w:r>
        <w:rPr>
          <w:b/>
        </w:rPr>
        <w:t xml:space="preserve">2. </w:t>
      </w:r>
      <w:r>
        <w:t>If the parties reach agreement in principle, Technijian will lodge a joint request to stay all arbitration deadlines pending execution of the settlement.</w:t>
      </w:r>
    </w:p>
    <w:p>
      <w:pPr>
        <w:jc w:val="both"/>
      </w:pPr>
      <w:r>
        <w:rPr>
          <w:b/>
        </w:rPr>
        <w:t xml:space="preserve">3. </w:t>
      </w:r>
      <w:r>
        <w:t>If the parties do not reach agreement, Technijian will promptly (a) lodge the caption amendment under AAA Rule R-6, (b) produce the full ticketing reconciliation and QuickBooks ledger under AAA Rule R-22, and (c) notice depositions of Erica Garcia and Respondent's current finance and operations leadership.</w:t>
      </w:r>
    </w:p>
    <w:p>
      <w:pPr>
        <w:jc w:val="both"/>
      </w:pPr>
      <w:r>
        <w:rPr>
          <w:b w:val="0"/>
          <w:i w:val="0"/>
        </w:rPr>
        <w:t>Respectfully submitted,</w:t>
      </w:r>
    </w:p>
    <w:p/>
    <w:p>
      <w:r>
        <w:rPr>
          <w:b/>
        </w:rPr>
        <w:t>Edward Susolik, Esq.</w:t>
      </w:r>
    </w:p>
    <w:p>
      <w:r>
        <w:t>Callahan &amp; Blaine, PC</w:t>
      </w:r>
    </w:p>
    <w:p>
      <w:r>
        <w:t>Counsel for Claimant Technijian, Inc.</w:t>
      </w:r>
    </w:p>
    <w:p>
      <w:pPr>
        <w:spacing w:before="240" w:after="120"/>
      </w:pPr>
      <w:r>
        <w:rPr>
          <w:b/>
          <w:color w:val="1F4E79"/>
          <w:sz w:val="24"/>
        </w:rPr>
        <w:t>EXHIBIT INDEX</w:t>
      </w:r>
    </w:p>
    <w:p>
      <w:r>
        <w:rPr>
          <w:b/>
        </w:rPr>
        <w:t xml:space="preserve">Exhibit A. </w:t>
      </w:r>
      <w:r>
        <w:t>Client Monthly Service Agreement, DocuSigned 5/4/2023 (Envelope ID B679C550-E41C-4E31-BE34-7F8FFF437C3D)</w:t>
      </w:r>
    </w:p>
    <w:p>
      <w:r>
        <w:rPr>
          <w:b/>
        </w:rPr>
        <w:t xml:space="preserve">Exhibit B. </w:t>
      </w:r>
      <w:r>
        <w:t>Technijian monthly invoice ledger, May 2023 – April 2026</w:t>
      </w:r>
    </w:p>
    <w:p>
      <w:r>
        <w:rPr>
          <w:b/>
        </w:rPr>
        <w:t xml:space="preserve">Exhibit C. </w:t>
      </w:r>
      <w:r>
        <w:t>Billed-vs-Actual hours reconciliation by contracted support category and month</w:t>
      </w:r>
    </w:p>
    <w:p>
      <w:r>
        <w:rPr>
          <w:b/>
        </w:rPr>
        <w:t xml:space="preserve">Exhibit D. </w:t>
      </w:r>
      <w:r>
        <w:t>Vintage Design termination notice dated June 23, 2025 (in counsel's file)</w:t>
      </w:r>
    </w:p>
    <w:p>
      <w:r>
        <w:rPr>
          <w:b/>
        </w:rPr>
        <w:t xml:space="preserve">Exhibit E. </w:t>
      </w:r>
      <w:r>
        <w:t>June 27, 2025 Final Invoice assessing cancellation fee (in counsel's file)</w:t>
      </w:r>
    </w:p>
    <w:p>
      <w:r>
        <w:rPr>
          <w:b/>
        </w:rPr>
        <w:t xml:space="preserve">Exhibit F. </w:t>
      </w:r>
      <w:r>
        <w:t>Demand for Arbitration filed October 23, 2025, with proposed caption-amendment redline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6"/>
      </w:rPr>
      <w:t>PRIVILEGED SETTLEMENT COMMUNICATION — Cal. Evid. Code §§ 1119, 1152; Fed. R. Evid. 408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