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F67D4B" w:val="clear"/>
            <w:tcMar>
              <w:top w:type="dxa" w:w="100"/>
              <w:left w:type="dxa" w:w="200"/>
              <w:bottom w:type="dxa" w:w="100"/>
              <w:right w:type="dxa" w:w="200"/>
            </w:tcMar>
          </w:tcPr>
          <w:p>
            <w:pPr>
              <w:jc w:val="right"/>
            </w:pPr>
            <w:r>
              <w:rPr>
                <w:rFonts w:ascii="Open Sans" w:cs="Open Sans" w:eastAsia="Open Sans" w:hAnsi="Open Sans"/>
                <w:b/>
                <w:bCs/>
                <w:color w:val="FFFFFF"/>
                <w:sz w:val="32"/>
                <w:szCs w:val="32"/>
              </w:rPr>
              <w:t xml:space="preserve">MONTHLY SERVICE INVOICE</w:t>
            </w:r>
          </w:p>
        </w:tc>
      </w:tr>
    </w:tbl>
    <w:p>
      <w:pPr>
        <w:spacing w:after="8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E8F4FD" w:val="clear"/>
            <w:tcMar>
              <w:top w:type="dxa" w:w="60"/>
              <w:left w:type="dxa" w:w="200"/>
              <w:bottom w:type="dxa" w:w="60"/>
              <w:right w:type="dxa" w:w="200"/>
            </w:tcMar>
          </w:tcPr>
          <w:p>
            <w:pPr>
              <w:jc w:val="center"/>
            </w:pPr>
            <w:r>
              <w:rPr>
                <w:rFonts w:ascii="Open Sans" w:cs="Open Sans" w:eastAsia="Open Sans" w:hAnsi="Open Sans"/>
                <w:b/>
                <w:bCs/>
                <w:color w:val="006DB6"/>
                <w:sz w:val="18"/>
                <w:szCs w:val="18"/>
              </w:rPr>
              <w:t xml:space="preserve">Governed by Master Service Agreement [MSA-XXXX]  |  Schedule A — Monthly Managed Services</w:t>
            </w:r>
          </w:p>
        </w:tc>
      </w:tr>
    </w:tbl>
    <w:p>
      <w:pPr>
        <w:spacing w:after="12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shd w:fill="E8F4FD" w:val="clear"/>
            <w:tcMar>
              <w:top w:type="dxa" w:w="60"/>
              <w:left w:type="dxa" w:w="80"/>
              <w:bottom w:type="dxa" w:w="60"/>
              <w:right w:type="dxa" w:w="80"/>
            </w:tcMar>
          </w:tcPr>
          <w:p>
            <w:pPr>
              <w:spacing w:after="20"/>
            </w:pPr>
            <w:r>
              <w:rPr>
                <w:rFonts w:ascii="Open Sans" w:cs="Open Sans" w:eastAsia="Open Sans" w:hAnsi="Open Sans"/>
                <w:b/>
                <w:bCs/>
                <w:color w:val="F67D4B"/>
                <w:sz w:val="16"/>
                <w:szCs w:val="16"/>
              </w:rPr>
              <w:t xml:space="preserve">Bill To:</w:t>
            </w:r>
          </w:p>
          <w:p>
            <w:pPr>
              <w:spacing w:after="20"/>
            </w:pPr>
            <w:r>
              <w:rPr>
                <w:rFonts w:ascii="Open Sans" w:cs="Open Sans" w:eastAsia="Open Sans" w:hAnsi="Open Sans"/>
                <w:b/>
                <w:bCs/>
                <w:color w:val="1A1A2E"/>
                <w:sz w:val="20"/>
                <w:szCs w:val="20"/>
              </w:rPr>
              <w:t xml:space="preserve">[CLIENT NAME]</w:t>
            </w:r>
          </w:p>
          <w:p>
            <w:pPr>
              <w:spacing w:after="20"/>
            </w:pPr>
            <w:r>
              <w:rPr>
                <w:rFonts w:ascii="Open Sans" w:cs="Open Sans" w:eastAsia="Open Sans" w:hAnsi="Open Sans"/>
                <w:b w:val="false"/>
                <w:bCs w:val="false"/>
                <w:color w:val="59595B"/>
                <w:sz w:val="18"/>
                <w:szCs w:val="18"/>
              </w:rPr>
              <w:t xml:space="preserve">[CLIENT ADDRESS]</w:t>
            </w:r>
          </w:p>
          <w:p>
            <w:pPr>
              <w:spacing w:after="20"/>
            </w:pPr>
            <w:r>
              <w:rPr>
                <w:rFonts w:ascii="Open Sans" w:cs="Open Sans" w:eastAsia="Open Sans" w:hAnsi="Open Sans"/>
                <w:b w:val="false"/>
                <w:bCs w:val="false"/>
                <w:color w:val="59595B"/>
                <w:sz w:val="18"/>
                <w:szCs w:val="18"/>
              </w:rPr>
              <w:t xml:space="preserve">[CITY, STATE ZIP]</w:t>
            </w:r>
          </w:p>
        </w:tc>
        <w:tc>
          <w:tcPr>
            <w:tcW w:type="dxa" w:w="5040"/>
            <w:tcBorders>
              <w:top w:val="none" w:sz="0"/>
              <w:left w:val="none" w:sz="0"/>
              <w:bottom w:val="none" w:sz="0"/>
              <w:right w:val="none" w:sz="0"/>
            </w:tcBorders>
            <w:shd w:fill="FFFFFF" w:val="clear"/>
            <w:tcMar>
              <w:top w:type="dxa" w:w="60"/>
              <w:left w:type="dxa" w:w="80"/>
              <w:bottom w:type="dxa" w:w="60"/>
              <w:right w:type="dxa" w:w="80"/>
            </w:tcMar>
          </w:tcPr>
          <w:p>
            <w:pPr>
              <w:spacing w:after="20"/>
              <w:jc w:val="right"/>
            </w:pPr>
            <w:r>
              <w:rPr>
                <w:rFonts w:ascii="Open Sans" w:cs="Open Sans" w:eastAsia="Open Sans" w:hAnsi="Open Sans"/>
                <w:b/>
                <w:bCs/>
                <w:color w:val="1A1A2E"/>
                <w:sz w:val="16"/>
                <w:szCs w:val="16"/>
              </w:rPr>
              <w:t xml:space="preserve">Invoice #: </w:t>
            </w:r>
            <w:r>
              <w:rPr>
                <w:rFonts w:ascii="Open Sans" w:cs="Open Sans" w:eastAsia="Open Sans" w:hAnsi="Open Sans"/>
                <w:b/>
                <w:bCs/>
                <w:color w:val="006DB6"/>
                <w:sz w:val="18"/>
                <w:szCs w:val="18"/>
              </w:rPr>
              <w:t xml:space="preserve">[INV-XXXX]</w:t>
            </w:r>
          </w:p>
          <w:p>
            <w:pPr>
              <w:spacing w:after="20"/>
              <w:jc w:val="right"/>
            </w:pPr>
            <w:r>
              <w:rPr>
                <w:rFonts w:ascii="Open Sans" w:cs="Open Sans" w:eastAsia="Open Sans" w:hAnsi="Open Sans"/>
                <w:b/>
                <w:bCs/>
                <w:color w:val="1A1A2E"/>
                <w:sz w:val="16"/>
                <w:szCs w:val="16"/>
              </w:rPr>
              <w:t xml:space="preserve">Date: </w:t>
            </w:r>
            <w:r>
              <w:rPr>
                <w:rFonts w:ascii="Open Sans" w:cs="Open Sans" w:eastAsia="Open Sans" w:hAnsi="Open Sans"/>
                <w:b/>
                <w:bCs/>
                <w:color w:val="006DB6"/>
                <w:sz w:val="18"/>
                <w:szCs w:val="18"/>
              </w:rPr>
              <w:t xml:space="preserve">[DATE]</w:t>
            </w:r>
          </w:p>
          <w:p>
            <w:pPr>
              <w:spacing w:after="20"/>
              <w:jc w:val="right"/>
            </w:pPr>
            <w:r>
              <w:rPr>
                <w:rFonts w:ascii="Open Sans" w:cs="Open Sans" w:eastAsia="Open Sans" w:hAnsi="Open Sans"/>
                <w:b/>
                <w:bCs/>
                <w:color w:val="1A1A2E"/>
                <w:sz w:val="16"/>
                <w:szCs w:val="16"/>
              </w:rPr>
              <w:t xml:space="preserve">Due: </w:t>
            </w:r>
            <w:r>
              <w:rPr>
                <w:rFonts w:ascii="Open Sans" w:cs="Open Sans" w:eastAsia="Open Sans" w:hAnsi="Open Sans"/>
                <w:b/>
                <w:bCs/>
                <w:color w:val="006DB6"/>
                <w:sz w:val="18"/>
                <w:szCs w:val="18"/>
              </w:rPr>
              <w:t xml:space="preserve">[DUE DATE]</w:t>
            </w:r>
          </w:p>
          <w:p>
            <w:pPr>
              <w:spacing w:after="20"/>
              <w:jc w:val="right"/>
            </w:pPr>
            <w:r>
              <w:rPr>
                <w:rFonts w:ascii="Open Sans" w:cs="Open Sans" w:eastAsia="Open Sans" w:hAnsi="Open Sans"/>
                <w:b/>
                <w:bCs/>
                <w:color w:val="1A1A2E"/>
                <w:sz w:val="16"/>
                <w:szCs w:val="16"/>
              </w:rPr>
              <w:t xml:space="preserve">Page: </w:t>
            </w:r>
            <w:r>
              <w:rPr>
                <w:rFonts w:ascii="Open Sans" w:cs="Open Sans" w:eastAsia="Open Sans" w:hAnsi="Open Sans"/>
                <w:b/>
                <w:bCs/>
                <w:color w:val="006DB6"/>
                <w:sz w:val="18"/>
                <w:szCs w:val="18"/>
              </w:rPr>
              <w:t xml:space="preserve">1 of 1</w:t>
            </w:r>
          </w:p>
          <w:p>
            <w:pPr>
              <w:spacing w:after="20"/>
              <w:jc w:val="right"/>
            </w:pPr>
            <w:r>
              <w:rPr>
                <w:rFonts w:ascii="Open Sans" w:cs="Open Sans" w:eastAsia="Open Sans" w:hAnsi="Open Sans"/>
                <w:b/>
                <w:bCs/>
                <w:color w:val="1A1A2E"/>
                <w:sz w:val="16"/>
                <w:szCs w:val="16"/>
              </w:rPr>
              <w:t xml:space="preserve">MSA: </w:t>
            </w:r>
            <w:r>
              <w:rPr>
                <w:rFonts w:ascii="Open Sans" w:cs="Open Sans" w:eastAsia="Open Sans" w:hAnsi="Open Sans"/>
                <w:b/>
                <w:bCs/>
                <w:color w:val="006DB6"/>
                <w:sz w:val="18"/>
                <w:szCs w:val="18"/>
              </w:rPr>
              <w:t xml:space="preserve">[MSA-XXXX]</w:t>
            </w:r>
          </w:p>
          <w:p>
            <w:pPr>
              <w:spacing w:after="20"/>
              <w:jc w:val="right"/>
            </w:pPr>
            <w:r>
              <w:rPr>
                <w:rFonts w:ascii="Open Sans" w:cs="Open Sans" w:eastAsia="Open Sans" w:hAnsi="Open Sans"/>
                <w:b/>
                <w:bCs/>
                <w:color w:val="1A1A2E"/>
                <w:sz w:val="16"/>
                <w:szCs w:val="16"/>
              </w:rPr>
              <w:t xml:space="preserve">Schedule: </w:t>
            </w:r>
            <w:r>
              <w:rPr>
                <w:rFonts w:ascii="Open Sans" w:cs="Open Sans" w:eastAsia="Open Sans" w:hAnsi="Open Sans"/>
                <w:b/>
                <w:bCs/>
                <w:color w:val="006DB6"/>
                <w:sz w:val="18"/>
                <w:szCs w:val="18"/>
              </w:rPr>
              <w:t xml:space="preserve">A</w:t>
            </w:r>
          </w:p>
        </w:tc>
      </w:tr>
    </w:tbl>
    <w:p>
      <w:pPr>
        <w:spacing w:after="15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740"/>
        <w:gridCol w:w="3740"/>
        <w:gridCol w:w="1200"/>
      </w:tblGrid>
      <w:tr>
        <w:tc>
          <w:tcPr>
            <w:tcW w:type="dxa" w:w="14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left"/>
            </w:pPr>
            <w:r>
              <w:rPr>
                <w:rFonts w:ascii="Open Sans" w:cs="Open Sans" w:eastAsia="Open Sans" w:hAnsi="Open Sans"/>
                <w:b/>
                <w:bCs/>
                <w:color w:val="FFFFFF"/>
                <w:sz w:val="14"/>
                <w:szCs w:val="14"/>
              </w:rPr>
              <w:t xml:space="preserve">Location/Group</w:t>
            </w:r>
          </w:p>
        </w:tc>
        <w:tc>
          <w:tcPr>
            <w:tcW w:type="dxa" w:w="374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Users</w:t>
            </w:r>
          </w:p>
        </w:tc>
        <w:tc>
          <w:tcPr>
            <w:tcW w:type="dxa" w:w="374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Storages</w:t>
            </w:r>
          </w:p>
        </w:tc>
        <w:tc>
          <w:tcPr>
            <w:tcW w:type="dxa" w:w="12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Sub-Total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1A1A2E"/>
                <w:sz w:val="16"/>
                <w:szCs w:val="16"/>
              </w:rPr>
              <w:t xml:space="preserve">ICML / Root</w:t>
            </w:r>
          </w:p>
        </w:tc>
        <w:tc>
          <w:tcPr>
            <w:tcW w:type="dxa" w:w="37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6"/>
                <w:szCs w:val="16"/>
              </w:rPr>
              <w:t xml:space="preserve">5       5</w:t>
            </w:r>
          </w:p>
        </w:tc>
        <w:tc>
          <w:tcPr>
            <w:tcW w:type="dxa" w:w="37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6"/>
                <w:szCs w:val="16"/>
              </w:rPr>
              <w:t xml:space="preserve">56.00       55.00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r>
      <w:tr>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c>
          <w:tcPr>
            <w:tcW w:type="dxa" w:w="37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$20.00</w:t>
            </w:r>
          </w:p>
        </w:tc>
        <w:tc>
          <w:tcPr>
            <w:tcW w:type="dxa" w:w="37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$28.00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right"/>
            </w:pPr>
            <w:r>
              <w:rPr>
                <w:rFonts w:ascii="Open Sans" w:cs="Open Sans" w:eastAsia="Open Sans" w:hAnsi="Open Sans"/>
                <w:b/>
                <w:bCs/>
                <w:color w:val="006DB6"/>
                <w:sz w:val="16"/>
                <w:szCs w:val="16"/>
              </w:rPr>
              <w:t xml:space="preserve">$48.00</w:t>
            </w:r>
          </w:p>
        </w:tc>
      </w:tr>
    </w:tbl>
    <w:p>
      <w:pPr>
        <w:spacing w:after="8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480"/>
        <w:gridCol w:w="1200"/>
      </w:tblGrid>
      <w:tr>
        <w:tc>
          <w:tcPr>
            <w:tcW w:type="dxa" w:w="14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left"/>
            </w:pPr>
            <w:r>
              <w:rPr>
                <w:rFonts w:ascii="Open Sans" w:cs="Open Sans" w:eastAsia="Open Sans" w:hAnsi="Open Sans"/>
                <w:b/>
                <w:bCs/>
                <w:color w:val="FFFFFF"/>
                <w:sz w:val="14"/>
                <w:szCs w:val="14"/>
              </w:rPr>
              <w:t xml:space="preserve">Location/Group</w:t>
            </w:r>
          </w:p>
        </w:tc>
        <w:tc>
          <w:tcPr>
            <w:tcW w:type="dxa" w:w="748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Users</w:t>
            </w:r>
          </w:p>
        </w:tc>
        <w:tc>
          <w:tcPr>
            <w:tcW w:type="dxa" w:w="12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Sub-Total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1A1A2E"/>
                <w:sz w:val="16"/>
                <w:szCs w:val="16"/>
              </w:rPr>
              <w:t xml:space="preserve">ICML / ActiveMailboxes</w:t>
            </w:r>
          </w:p>
        </w:tc>
        <w:tc>
          <w:tcPr>
            <w:tcW w:type="dxa" w:w="748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6"/>
                <w:szCs w:val="16"/>
              </w:rPr>
              <w:t xml:space="preserve">2       2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r>
      <w:tr>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c>
          <w:tcPr>
            <w:tcW w:type="dxa" w:w="748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$8.50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right"/>
            </w:pPr>
            <w:r>
              <w:rPr>
                <w:rFonts w:ascii="Open Sans" w:cs="Open Sans" w:eastAsia="Open Sans" w:hAnsi="Open Sans"/>
                <w:b/>
                <w:bCs/>
                <w:color w:val="006DB6"/>
                <w:sz w:val="16"/>
                <w:szCs w:val="16"/>
              </w:rPr>
              <w:t xml:space="preserve">$8.50</w:t>
            </w:r>
          </w:p>
        </w:tc>
      </w:tr>
    </w:tbl>
    <w:p>
      <w:pPr>
        <w:spacing w:after="15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480"/>
        <w:gridCol w:w="1200"/>
      </w:tblGrid>
      <w:tr>
        <w:tc>
          <w:tcPr>
            <w:tcW w:type="dxa" w:w="14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left"/>
            </w:pPr>
            <w:r>
              <w:rPr>
                <w:rFonts w:ascii="Open Sans" w:cs="Open Sans" w:eastAsia="Open Sans" w:hAnsi="Open Sans"/>
                <w:b/>
                <w:bCs/>
                <w:color w:val="FFFFFF"/>
                <w:sz w:val="14"/>
                <w:szCs w:val="14"/>
              </w:rPr>
              <w:t xml:space="preserve">SIP Trunk</w:t>
            </w:r>
          </w:p>
        </w:tc>
        <w:tc>
          <w:tcPr>
            <w:tcW w:type="dxa" w:w="748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
            </w:r>
          </w:p>
        </w:tc>
        <w:tc>
          <w:tcPr>
            <w:tcW w:type="dxa" w:w="12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Sub-Total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c>
          <w:tcPr>
            <w:tcW w:type="dxa" w:w="7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r>
    </w:tbl>
    <w:p>
      <w:pPr>
        <w:spacing w:after="150"/>
      </w:pPr>
      <w:r>
        <w:rPr>
          <w:rFonts w:ascii="Open Sans" w:cs="Open Sans" w:eastAsia="Open Sans" w:hAnsi="Open Sans"/>
          <w:color w:val="59595B"/>
          <w:sz w:val="20"/>
          <w:szCs w:val="20"/>
        </w:rPr>
        <w:t xml:space="preserve"/>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400"/>
        <w:gridCol w:w="2493"/>
        <w:gridCol w:w="2493"/>
        <w:gridCol w:w="2493"/>
        <w:gridCol w:w="1200"/>
      </w:tblGrid>
      <w:tr>
        <w:tc>
          <w:tcPr>
            <w:tcW w:type="dxa" w:w="14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left"/>
            </w:pPr>
            <w:r>
              <w:rPr>
                <w:rFonts w:ascii="Open Sans" w:cs="Open Sans" w:eastAsia="Open Sans" w:hAnsi="Open Sans"/>
                <w:b/>
                <w:bCs/>
                <w:color w:val="FFFFFF"/>
                <w:sz w:val="14"/>
                <w:szCs w:val="14"/>
              </w:rPr>
              <w:t xml:space="preserve">Virtual Staff</w:t>
            </w:r>
          </w:p>
        </w:tc>
        <w:tc>
          <w:tcPr>
            <w:tcW w:type="dxa" w:w="2493"/>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2"/>
                <w:szCs w:val="12"/>
              </w:rPr>
              <w:t xml:space="preserve">USA Tech: Normal</w:t>
            </w:r>
          </w:p>
        </w:tc>
        <w:tc>
          <w:tcPr>
            <w:tcW w:type="dxa" w:w="2493"/>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2"/>
                <w:szCs w:val="12"/>
              </w:rPr>
              <w:t xml:space="preserve">India Tech: AH</w:t>
            </w:r>
          </w:p>
        </w:tc>
        <w:tc>
          <w:tcPr>
            <w:tcW w:type="dxa" w:w="2493"/>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2"/>
                <w:szCs w:val="12"/>
              </w:rPr>
              <w:t xml:space="preserve">India Tech: Normal</w:t>
            </w:r>
          </w:p>
        </w:tc>
        <w:tc>
          <w:tcPr>
            <w:tcW w:type="dxa" w:w="12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4"/>
                <w:szCs w:val="14"/>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1A1A2E"/>
                <w:sz w:val="14"/>
                <w:szCs w:val="14"/>
              </w:rPr>
              <w:t xml:space="preserve">Remote</w:t>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0.25       0.25</w:t>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0.73       0.5</w:t>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1.0       1.0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r>
      <w:tr>
        <w:tc>
          <w:tcPr>
            <w:tcW w:type="dxa" w:w="1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$37.50</w:t>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$32.85</w:t>
            </w:r>
          </w:p>
        </w:tc>
        <w:tc>
          <w:tcPr>
            <w:tcW w:type="dxa" w:w="2493"/>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center"/>
            </w:pPr>
            <w:r>
              <w:rPr>
                <w:rFonts w:ascii="Open Sans" w:cs="Open Sans" w:eastAsia="Open Sans" w:hAnsi="Open Sans"/>
                <w:b w:val="false"/>
                <w:bCs w:val="false"/>
                <w:color w:val="59595B"/>
                <w:sz w:val="14"/>
                <w:szCs w:val="14"/>
              </w:rPr>
              <w:t xml:space="preserve">$30.00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right"/>
            </w:pPr>
            <w:r>
              <w:rPr>
                <w:rFonts w:ascii="Open Sans" w:cs="Open Sans" w:eastAsia="Open Sans" w:hAnsi="Open Sans"/>
                <w:b/>
                <w:bCs/>
                <w:color w:val="006DB6"/>
                <w:sz w:val="16"/>
                <w:szCs w:val="16"/>
              </w:rPr>
              <w:t xml:space="preserve">$100.35</w:t>
            </w:r>
          </w:p>
        </w:tc>
      </w:tr>
    </w:tbl>
    <w:p>
      <w:pPr>
        <w:spacing w:after="200"/>
      </w:pPr>
      <w:r>
        <w:rPr>
          <w:rFonts w:ascii="Open Sans" w:cs="Open Sans" w:eastAsia="Open Sans" w:hAnsi="Open Sans"/>
          <w:color w:val="59595B"/>
          <w:sz w:val="20"/>
          <w:szCs w:val="20"/>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tblGrid>
      <w:tr>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right"/>
            </w:pPr>
            <w:r>
              <w:rPr>
                <w:rFonts w:ascii="Open Sans" w:cs="Open Sans" w:eastAsia="Open Sans" w:hAnsi="Open Sans"/>
                <w:b/>
                <w:bCs/>
                <w:color w:val="1A1A2E"/>
                <w:sz w:val="18"/>
                <w:szCs w:val="18"/>
              </w:rPr>
              <w:t xml:space="preserve">Sub-Total: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right"/>
            </w:pPr>
            <w:r>
              <w:rPr>
                <w:rFonts w:ascii="Open Sans" w:cs="Open Sans" w:eastAsia="Open Sans" w:hAnsi="Open Sans"/>
                <w:b w:val="false"/>
                <w:bCs w:val="false"/>
                <w:color w:val="59595B"/>
                <w:sz w:val="18"/>
                <w:szCs w:val="18"/>
              </w:rPr>
              <w:t xml:space="preserve">$156.85</w:t>
            </w:r>
          </w:p>
        </w:tc>
      </w:tr>
      <w:tr>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right"/>
            </w:pPr>
            <w:r>
              <w:rPr>
                <w:rFonts w:ascii="Open Sans" w:cs="Open Sans" w:eastAsia="Open Sans" w:hAnsi="Open Sans"/>
                <w:b/>
                <w:bCs/>
                <w:color w:val="1A1A2E"/>
                <w:sz w:val="18"/>
                <w:szCs w:val="18"/>
              </w:rPr>
              <w:t xml:space="preserve">Total: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right"/>
            </w:pPr>
            <w:r>
              <w:rPr>
                <w:rFonts w:ascii="Open Sans" w:cs="Open Sans" w:eastAsia="Open Sans" w:hAnsi="Open Sans"/>
                <w:b w:val="false"/>
                <w:bCs w:val="false"/>
                <w:color w:val="59595B"/>
                <w:sz w:val="18"/>
                <w:szCs w:val="18"/>
              </w:rPr>
              <w:t xml:space="preserve">$156.85</w:t>
            </w:r>
          </w:p>
        </w:tc>
      </w:tr>
      <w:tr>
        <w:tc>
          <w:tcPr>
            <w:tcW w:type="dxa" w:w="2400"/>
            <w:tcBorders>
              <w:top w:val="single" w:color="DDDDDD" w:sz="1"/>
              <w:left w:val="single" w:color="DDDDDD" w:sz="1"/>
              <w:bottom w:val="single" w:color="DDDDDD" w:sz="1"/>
              <w:right w:val="single" w:color="DDDDDD" w:sz="1"/>
            </w:tcBorders>
            <w:shd w:fill="F67D4B" w:val="clear"/>
            <w:tcMar>
              <w:top w:type="dxa" w:w="60"/>
              <w:left w:type="dxa" w:w="100"/>
              <w:bottom w:type="dxa" w:w="60"/>
              <w:right w:type="dxa" w:w="100"/>
            </w:tcMar>
            <w:vAlign w:val="center"/>
          </w:tcPr>
          <w:p>
            <w:pPr>
              <w:jc w:val="right"/>
            </w:pPr>
            <w:r>
              <w:rPr>
                <w:rFonts w:ascii="Open Sans" w:cs="Open Sans" w:eastAsia="Open Sans" w:hAnsi="Open Sans"/>
                <w:b/>
                <w:bCs/>
                <w:color w:val="1A1A2E"/>
                <w:sz w:val="20"/>
                <w:szCs w:val="20"/>
              </w:rPr>
              <w:t xml:space="preserve">Balance Due:</w:t>
            </w:r>
          </w:p>
        </w:tc>
        <w:tc>
          <w:tcPr>
            <w:tcW w:type="dxa" w:w="1600"/>
            <w:tcBorders>
              <w:top w:val="single" w:color="DDDDDD" w:sz="1"/>
              <w:left w:val="single" w:color="DDDDDD" w:sz="1"/>
              <w:bottom w:val="single" w:color="DDDDDD" w:sz="1"/>
              <w:right w:val="single" w:color="DDDDDD" w:sz="1"/>
            </w:tcBorders>
            <w:shd w:fill="F67D4B" w:val="clear"/>
            <w:tcMar>
              <w:top w:type="dxa" w:w="60"/>
              <w:left w:type="dxa" w:w="100"/>
              <w:bottom w:type="dxa" w:w="60"/>
              <w:right w:type="dxa" w:w="100"/>
            </w:tcMar>
            <w:vAlign w:val="center"/>
          </w:tcPr>
          <w:p>
            <w:pPr>
              <w:jc w:val="right"/>
            </w:pPr>
            <w:r>
              <w:rPr>
                <w:rFonts w:ascii="Open Sans" w:cs="Open Sans" w:eastAsia="Open Sans" w:hAnsi="Open Sans"/>
                <w:b/>
                <w:bCs/>
                <w:color w:val="FFFFFF"/>
                <w:sz w:val="20"/>
                <w:szCs w:val="20"/>
              </w:rPr>
              <w:t xml:space="preserve">$156.85</w:t>
            </w:r>
          </w:p>
        </w:tc>
      </w:tr>
    </w:tbl>
    <w:p>
      <w:pPr>
        <w:spacing w:after="30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tcMar>
              <w:top w:type="dxa" w:w="0"/>
              <w:left w:type="dxa" w:w="0"/>
              <w:bottom w:type="dxa" w:w="0"/>
              <w:right w:type="dxa" w:w="80"/>
            </w:tcMar>
          </w:tcPr>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c>
                <w:tcPr>
                  <w:tcW w:type="dxa" w:w="20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Role</w:t>
                  </w:r>
                </w:p>
              </w:tc>
              <w:tc>
                <w:tcPr>
                  <w:tcW w:type="dxa" w:w="16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Unpaid (Bef)</w:t>
                  </w:r>
                </w:p>
              </w:tc>
              <w:tc>
                <w:tcPr>
                  <w:tcW w:type="dxa" w:w="16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Billed</w:t>
                  </w:r>
                </w:p>
              </w:tc>
              <w:tc>
                <w:tcPr>
                  <w:tcW w:type="dxa" w:w="16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Actual</w:t>
                  </w:r>
                </w:p>
              </w:tc>
              <w:tc>
                <w:tcPr>
                  <w:tcW w:type="dxa" w:w="1600"/>
                  <w:tcBorders>
                    <w:top w:val="single" w:color="DDDDDD" w:sz="1"/>
                    <w:left w:val="single" w:color="DDDDDD" w:sz="1"/>
                    <w:bottom w:val="single" w:color="DDDDDD" w:sz="1"/>
                    <w:right w:val="single" w:color="DDDDDD" w:sz="1"/>
                  </w:tcBorders>
                  <w:shd w:fill="006DB6" w:val="clear"/>
                  <w:tcMar>
                    <w:top w:type="dxa" w:w="60"/>
                    <w:left w:type="dxa" w:w="100"/>
                    <w:bottom w:type="dxa" w:w="60"/>
                    <w:right w:type="dxa" w:w="100"/>
                  </w:tcMar>
                  <w:vAlign w:val="center"/>
                </w:tcPr>
                <w:p>
                  <w:pPr>
                    <w:jc w:val="center"/>
                  </w:pPr>
                  <w:r>
                    <w:rPr>
                      <w:rFonts w:ascii="Open Sans" w:cs="Open Sans" w:eastAsia="Open Sans" w:hAnsi="Open Sans"/>
                      <w:b/>
                      <w:bCs/>
                      <w:color w:val="FFFFFF"/>
                      <w:sz w:val="18"/>
                      <w:szCs w:val="18"/>
                    </w:rPr>
                    <w:t xml:space="preserve">Unpaid (Aft)</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India Tech: Normal</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1.00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1.00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bCs/>
                      <w:color w:val="59595B"/>
                      <w:sz w:val="18"/>
                      <w:szCs w:val="18"/>
                    </w:rPr>
                    <w:t xml:space="preserve">0.00</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India Tech: After Hours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4.55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0.73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0.50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F67D4B"/>
                      <w:sz w:val="18"/>
                      <w:szCs w:val="18"/>
                    </w:rPr>
                    <w:t xml:space="preserve">4.32</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India Dev: Normal</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bCs/>
                      <w:color w:val="59595B"/>
                      <w:sz w:val="18"/>
                      <w:szCs w:val="18"/>
                    </w:rPr>
                    <w:t xml:space="preserve">0.00</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USA Tech: Normal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4.55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0.73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0.50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F67D4B"/>
                      <w:sz w:val="18"/>
                      <w:szCs w:val="18"/>
                    </w:rPr>
                    <w:t xml:space="preserve">4.32</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USA Dev: Normal</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vAlign w:val="center"/>
                </w:tcPr>
                <w:p>
                  <w:pPr>
                    <w:jc w:val="left"/>
                  </w:pPr>
                  <w:r>
                    <w:rPr>
                      <w:rFonts w:ascii="Open Sans" w:cs="Open Sans" w:eastAsia="Open Sans" w:hAnsi="Open Sans"/>
                      <w:b/>
                      <w:bCs/>
                      <w:color w:val="59595B"/>
                      <w:sz w:val="18"/>
                      <w:szCs w:val="18"/>
                    </w:rPr>
                    <w:t xml:space="preserve">0.00</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USA CTO: Normal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0.00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val="false"/>
                      <w:bCs w:val="false"/>
                      <w:color w:val="59595B"/>
                      <w:sz w:val="18"/>
                      <w:szCs w:val="18"/>
                    </w:rPr>
                    <w:t xml:space="preserve">0.25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jc w:val="left"/>
                  </w:pPr>
                  <w:r>
                    <w:rPr>
                      <w:rFonts w:ascii="Open Sans" w:cs="Open Sans" w:eastAsia="Open Sans" w:hAnsi="Open Sans"/>
                      <w:b/>
                      <w:bCs/>
                      <w:color w:val="59595B"/>
                      <w:sz w:val="18"/>
                      <w:szCs w:val="18"/>
                    </w:rPr>
                    <w:t xml:space="preserve">0.00</w:t>
                  </w:r>
                </w:p>
              </w:tc>
            </w:tr>
          </w:tbl>
          <w:p>
            <w:pPr>
              <w:spacing w:after="60"/>
            </w:pPr>
            <w:r>
              <w:rPr>
                <w:rFonts w:ascii="Open Sans" w:cs="Open Sans" w:eastAsia="Open Sans" w:hAnsi="Open Sans"/>
                <w:color w:val="59595B"/>
                <w:sz w:val="20"/>
                <w:szCs w:val="20"/>
              </w:rPr>
              <w:t xml:space="preserve"/>
            </w:r>
          </w:p>
          <w:p>
            <w:r>
              <w:rPr>
                <w:rFonts w:ascii="Open Sans" w:cs="Open Sans" w:eastAsia="Open Sans" w:hAnsi="Open Sans"/>
                <w:i/>
                <w:iCs/>
                <w:color w:val="59595B"/>
                <w:sz w:val="12"/>
                <w:szCs w:val="12"/>
              </w:rPr>
              <w:t xml:space="preserve">*Unpaid hours represent the difference between actual hours worked and hours billed during the current under-contract period. Upon termination of this Agreement, all unpaid hours documented through ticketing shall be invoiced at the applicable hourly rate per the Rate Card and are due before the agreement is terminated, per the Client Monthly Service Agreement and Master Service Agreement Section 2.05(a).</w:t>
            </w:r>
          </w:p>
        </w:tc>
        <w:tc>
          <w:tcPr>
            <w:tcW w:type="dxa" w:w="5040"/>
            <w:tcBorders>
              <w:top w:val="none" w:sz="0"/>
              <w:left w:val="none" w:sz="0"/>
              <w:bottom w:val="none" w:sz="0"/>
              <w:right w:val="none" w:sz="0"/>
            </w:tcBorders>
            <w:shd w:fill="FFFFFF" w:val="clear"/>
            <w:tcMar>
              <w:top w:type="dxa" w:w="60"/>
              <w:left w:type="dxa" w:w="120"/>
              <w:bottom w:type="dxa" w:w="60"/>
              <w:right w:type="dxa" w:w="60"/>
            </w:tcMar>
            <w:vAlign w:val="center"/>
          </w:tcPr>
          <w:p>
            <w:pPr>
              <w:jc w:val="left"/>
            </w:pPr>
            <w:r>
              <w:rPr>
                <w:rFonts w:ascii="Open Sans" w:cs="Open Sans" w:eastAsia="Open Sans" w:hAnsi="Open Sans"/>
                <w:b/>
                <w:bCs/>
                <w:color w:val="1A1A2E"/>
                <w:sz w:val="18"/>
                <w:szCs w:val="18"/>
              </w:rPr>
              <w:t xml:space="preserve">Disclaimer</w:t>
            </w:r>
          </w:p>
          <w:p>
            <w:pPr>
              <w:jc w:val="left"/>
            </w:pPr>
            <w:r>
              <w:rPr>
                <w:rFonts w:ascii="Open Sans" w:cs="Open Sans" w:eastAsia="Open Sans" w:hAnsi="Open Sans"/>
                <w:b w:val="false"/>
                <w:bCs w:val="false"/>
                <w:color w:val="59595B"/>
                <w:sz w:val="8"/>
                <w:szCs w:val="8"/>
              </w:rPr>
              <w:t xml:space="preserve"/>
            </w:r>
          </w:p>
          <w:p>
            <w:pPr>
              <w:jc w:val="left"/>
            </w:pPr>
            <w:r>
              <w:rPr>
                <w:rFonts w:ascii="Open Sans" w:cs="Open Sans" w:eastAsia="Open Sans" w:hAnsi="Open Sans"/>
                <w:b w:val="false"/>
                <w:bCs w:val="false"/>
                <w:color w:val="59595B"/>
                <w:sz w:val="14"/>
                <w:szCs w:val="14"/>
              </w:rPr>
              <w:t xml:space="preserve">Attached is the price list and terms and conditions that help determine the monthly invoice. Payment of this invoice means the client agrees to the price list, terms and conditions, and the Master Service Agreement [MSA-XXXX].</w:t>
            </w:r>
          </w:p>
          <w:p>
            <w:pPr>
              <w:jc w:val="left"/>
            </w:pPr>
            <w:r>
              <w:rPr>
                <w:rFonts w:ascii="Open Sans" w:cs="Open Sans" w:eastAsia="Open Sans" w:hAnsi="Open Sans"/>
                <w:b w:val="false"/>
                <w:bCs w:val="false"/>
                <w:color w:val="59595B"/>
                <w:sz w:val="8"/>
                <w:szCs w:val="8"/>
              </w:rPr>
              <w:t xml:space="preserve"/>
            </w:r>
          </w:p>
          <w:p>
            <w:pPr>
              <w:jc w:val="left"/>
            </w:pPr>
            <w:r>
              <w:rPr>
                <w:rFonts w:ascii="Open Sans" w:cs="Open Sans" w:eastAsia="Open Sans" w:hAnsi="Open Sans"/>
                <w:b w:val="false"/>
                <w:bCs w:val="false"/>
                <w:color w:val="59595B"/>
                <w:sz w:val="14"/>
                <w:szCs w:val="14"/>
              </w:rPr>
              <w:t xml:space="preserve">The Support History section reflects actual vs. billed hours for the current under-contract period. Any unpaid hour balance is subject to invoicing upon termination per the applicable agreement terms.</w:t>
            </w:r>
          </w:p>
          <w:p>
            <w:pPr>
              <w:jc w:val="left"/>
            </w:pPr>
            <w:r>
              <w:rPr>
                <w:rFonts w:ascii="Open Sans" w:cs="Open Sans" w:eastAsia="Open Sans" w:hAnsi="Open Sans"/>
                <w:b w:val="false"/>
                <w:bCs w:val="false"/>
                <w:color w:val="59595B"/>
                <w:sz w:val="8"/>
                <w:szCs w:val="8"/>
              </w:rPr>
              <w:t xml:space="preserve"/>
            </w:r>
          </w:p>
          <w:p>
            <w:pPr>
              <w:jc w:val="left"/>
            </w:pPr>
            <w:r>
              <w:rPr>
                <w:rFonts w:ascii="Open Sans" w:cs="Open Sans" w:eastAsia="Open Sans" w:hAnsi="Open Sans"/>
                <w:b/>
                <w:bCs/>
                <w:color w:val="59595B"/>
                <w:sz w:val="14"/>
                <w:szCs w:val="14"/>
              </w:rPr>
              <w:t xml:space="preserve">Per MSA Schedule A, Section 3.3(e) and Section 2.05(a)(ii).</w:t>
            </w:r>
          </w:p>
        </w:tc>
      </w:tr>
    </w:tbl>
    <w:p>
      <w:pPr>
        <w:spacing w:after="200"/>
      </w:pPr>
      <w:r>
        <w:rPr>
          <w:rFonts w:ascii="Open Sans" w:cs="Open Sans" w:eastAsia="Open Sans" w:hAnsi="Open Sans"/>
          <w:color w:val="59595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67D4B" w:sz="3"/>
              <w:left w:val="none" w:sz="0"/>
              <w:bottom w:val="single" w:color="F67D4B" w:sz="3"/>
              <w:right w:val="none" w:sz="0"/>
            </w:tcBorders>
            <w:shd w:fill="1A1A2E" w:val="clear"/>
            <w:tcMar>
              <w:top w:type="dxa" w:w="120"/>
              <w:left w:type="dxa" w:w="200"/>
              <w:bottom w:type="dxa" w:w="120"/>
              <w:right w:type="dxa" w:w="200"/>
            </w:tcMar>
          </w:tcPr>
          <w:p>
            <w:pPr>
              <w:spacing w:before="60"/>
            </w:pPr>
            <w:r>
              <w:rPr>
                <w:rFonts w:ascii="Open Sans" w:cs="Open Sans" w:eastAsia="Open Sans" w:hAnsi="Open Sans"/>
                <w:b/>
                <w:bCs/>
                <w:color w:val="FFFFFF"/>
                <w:sz w:val="20"/>
                <w:szCs w:val="20"/>
              </w:rPr>
              <w:t xml:space="preserve">TERMS &amp; CONDITIONS</w:t>
            </w:r>
          </w:p>
          <w:p>
            <w:pPr>
              <w:spacing w:before="80"/>
            </w:pPr>
            <w:r>
              <w:rPr>
                <w:rFonts w:ascii="Open Sans" w:cs="Open Sans" w:eastAsia="Open Sans" w:hAnsi="Open Sans"/>
                <w:b/>
                <w:bCs/>
                <w:color w:val="FFFFFF"/>
                <w:sz w:val="16"/>
                <w:szCs w:val="16"/>
              </w:rPr>
              <w:t xml:space="preserve">Governing Agreement: </w:t>
            </w:r>
            <w:r>
              <w:rPr>
                <w:rFonts w:ascii="Open Sans" w:cs="Open Sans" w:eastAsia="Open Sans" w:hAnsi="Open Sans"/>
                <w:color w:val="E8F4FD"/>
                <w:sz w:val="16"/>
                <w:szCs w:val="16"/>
              </w:rPr>
              <w:t xml:space="preserve">This invoice is governed by Master Service Agreement [MSA-XXXX] and all applicable Schedules attached thereto. In the event of any conflict between the terms stated on this invoice and the MSA, the MSA shall control.</w:t>
            </w:r>
          </w:p>
          <w:p>
            <w:pPr>
              <w:spacing w:before="60"/>
            </w:pPr>
            <w:r>
              <w:rPr>
                <w:rFonts w:ascii="Open Sans" w:cs="Open Sans" w:eastAsia="Open Sans" w:hAnsi="Open Sans"/>
                <w:b/>
                <w:bCs/>
                <w:color w:val="FFFFFF"/>
                <w:sz w:val="16"/>
                <w:szCs w:val="16"/>
              </w:rPr>
              <w:t xml:space="preserve">Payment: </w:t>
            </w:r>
            <w:r>
              <w:rPr>
                <w:rFonts w:ascii="Open Sans" w:cs="Open Sans" w:eastAsia="Open Sans" w:hAnsi="Open Sans"/>
                <w:color w:val="E8F4FD"/>
                <w:sz w:val="16"/>
                <w:szCs w:val="16"/>
              </w:rPr>
              <w:t xml:space="preserve">Due within thirty (30) days of invoice date (MSA Section 3.03).</w:t>
            </w:r>
          </w:p>
          <w:p>
            <w:pPr>
              <w:spacing w:before="60"/>
            </w:pPr>
            <w:r>
              <w:rPr>
                <w:rFonts w:ascii="Open Sans" w:cs="Open Sans" w:eastAsia="Open Sans" w:hAnsi="Open Sans"/>
                <w:b/>
                <w:bCs/>
                <w:color w:val="FFFFFF"/>
                <w:sz w:val="16"/>
                <w:szCs w:val="16"/>
              </w:rPr>
              <w:t xml:space="preserve">Late Fees: </w:t>
            </w:r>
            <w:r>
              <w:rPr>
                <w:rFonts w:ascii="Open Sans" w:cs="Open Sans" w:eastAsia="Open Sans" w:hAnsi="Open Sans"/>
                <w:color w:val="E8F4FD"/>
                <w:sz w:val="16"/>
                <w:szCs w:val="16"/>
              </w:rPr>
              <w:t xml:space="preserve">1.5% per month on unpaid balance, compounding monthly (MSA Section 3.04).</w:t>
            </w:r>
          </w:p>
          <w:p>
            <w:pPr>
              <w:spacing w:before="60"/>
            </w:pPr>
            <w:r>
              <w:rPr>
                <w:rFonts w:ascii="Open Sans" w:cs="Open Sans" w:eastAsia="Open Sans" w:hAnsi="Open Sans"/>
                <w:b/>
                <w:bCs/>
                <w:color w:val="FFFFFF"/>
                <w:sz w:val="16"/>
                <w:szCs w:val="16"/>
              </w:rPr>
              <w:t xml:space="preserve">Disputes: </w:t>
            </w:r>
            <w:r>
              <w:rPr>
                <w:rFonts w:ascii="Open Sans" w:cs="Open Sans" w:eastAsia="Open Sans" w:hAnsi="Open Sans"/>
                <w:color w:val="E8F4FD"/>
                <w:sz w:val="16"/>
                <w:szCs w:val="16"/>
              </w:rPr>
              <w:t xml:space="preserve">Written notice within fifteen (15) days of invoice date. Failure to dispute constitutes acceptance (MSA Section 3.05).</w:t>
            </w:r>
          </w:p>
          <w:p>
            <w:pPr>
              <w:spacing w:before="60"/>
            </w:pPr>
            <w:r>
              <w:rPr>
                <w:rFonts w:ascii="Open Sans" w:cs="Open Sans" w:eastAsia="Open Sans" w:hAnsi="Open Sans"/>
                <w:b/>
                <w:bCs/>
                <w:color w:val="FFFFFF"/>
                <w:sz w:val="16"/>
                <w:szCs w:val="16"/>
              </w:rPr>
              <w:t xml:space="preserve">Non-Payment Remedies: </w:t>
            </w:r>
            <w:r>
              <w:rPr>
                <w:rFonts w:ascii="Open Sans" w:cs="Open Sans" w:eastAsia="Open Sans" w:hAnsi="Open Sans"/>
                <w:color w:val="E8F4FD"/>
                <w:sz w:val="16"/>
                <w:szCs w:val="16"/>
              </w:rPr>
              <w:t xml:space="preserve">Service suspension (MSA 3.06), acceleration of all amounts due (MSA 3.07), lien and security interest enforcement (MSA 3.09-3.10). Client liable for all collection costs and attorney's fees (MSA 3.08, 8.04).</w:t>
            </w:r>
          </w:p>
        </w:tc>
      </w:tr>
    </w:tbl>
    <w:sectPr>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2026-03-24T23:40:01.296Z</dcterms:created>
  <dcterms:modified xsi:type="dcterms:W3CDTF">2026-03-24T23:40:01.298Z</dcterms:modified>
</cp:coreProperties>
</file>

<file path=docProps/custom.xml><?xml version="1.0" encoding="utf-8"?>
<Properties xmlns="http://schemas.openxmlformats.org/officeDocument/2006/custom-properties" xmlns:vt="http://schemas.openxmlformats.org/officeDocument/2006/docPropsVTypes"/>
</file>