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F67D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32"/>
                <w:szCs w:val="32"/>
              </w:rPr>
              <w:t xml:space="preserve">WEEKLY SERVICE INVOICE — BILLABLE</w:t>
            </w:r>
          </w:p>
        </w:tc>
      </w:tr>
    </w:tbl>
    <w:p>
      <w:pPr>
        <w:spacing w:after="8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Governed by Master Service Agreement [MSA-XXXX]  |  Schedule C — Rate Card</w:t>
            </w:r>
          </w:p>
        </w:tc>
      </w:tr>
    </w:tbl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16"/>
                <w:szCs w:val="16"/>
              </w:rPr>
              <w:t xml:space="preserve">Bill To:</w:t>
            </w:r>
          </w:p>
          <w:p>
            <w:pPr>
              <w:spacing w:after="2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[CLIENT NAME]</w:t>
            </w:r>
          </w:p>
          <w:p>
            <w:pPr>
              <w:spacing w:after="2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[CLIENT ADDRESS]</w:t>
            </w:r>
          </w:p>
          <w:p>
            <w:pPr>
              <w:spacing w:after="2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[CITY, STATE ZIP]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Invoice #: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[INV-XXXX]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Date: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[DATE]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Due: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[DUE DATE]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Page: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1 of 1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MSA: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[MSA-XXXX]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Schedule: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C — Rate Card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Service: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[START] - [END]</w:t>
            </w:r>
          </w:p>
        </w:tc>
      </w:tr>
    </w:tbl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67D4B" w:sz="2"/>
              <w:left w:val="none" w:sz="0"/>
              <w:bottom w:val="single" w:color="F67D4B" w:sz="2"/>
              <w:right w:val="none" w:sz="0"/>
            </w:tcBorders>
            <w:shd w:fill="FEF0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0"/>
                <w:szCs w:val="20"/>
              </w:rPr>
              <w:t xml:space="preserve">OUT OF CONTRACT — BILLABLE HOURS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6"/>
                <w:szCs w:val="16"/>
              </w:rPr>
              <w:t xml:space="preserve">These hours are outside contracted scope and billed at Rate Card (Schedule C) rates.</w:t>
            </w:r>
          </w:p>
        </w:tc>
      </w:tr>
    </w:tbl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100"/>
      </w:pPr>
      <w:r>
        <w:rPr>
          <w:rFonts w:ascii="Open Sans" w:cs="Open Sans" w:eastAsia="Open Sans" w:hAnsi="Open Sans"/>
          <w:b/>
          <w:bCs/>
          <w:color w:val="006DB6"/>
          <w:sz w:val="20"/>
          <w:szCs w:val="20"/>
        </w:rPr>
        <w:t xml:space="preserve">Billable Services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1200"/>
        <w:gridCol w:w="900"/>
        <w:gridCol w:w="1400"/>
        <w:gridCol w:w="140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Role / POD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Sub-Total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[DATE]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IRV-TS1 — Tech Support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Onsite (N)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2.00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$150.00/hr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$300.00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[DATE]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IRV-AD1 — CTO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Onsite (AH)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1.50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$400.00/hr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$600.00</w:t>
            </w:r>
          </w:p>
        </w:tc>
      </w:tr>
    </w:tbl>
    <w:p>
      <w:pPr>
        <w:spacing w:after="1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100"/>
      </w:pPr>
      <w:r>
        <w:rPr>
          <w:rFonts w:ascii="Open Sans" w:cs="Open Sans" w:eastAsia="Open Sans" w:hAnsi="Open Sans"/>
          <w:b/>
          <w:bCs/>
          <w:color w:val="006DB6"/>
          <w:sz w:val="20"/>
          <w:szCs w:val="20"/>
        </w:rPr>
        <w:t xml:space="preserve">Ticket Details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400"/>
        <w:gridCol w:w="1200"/>
        <w:gridCol w:w="800"/>
        <w:gridCol w:w="260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Ticket Title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[Ticket title]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[Resource Name]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IRV-TS1 (N)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2.00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[Work description]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[Ticket title]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[Resource Name]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IRV-AD1 (AH)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1.50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[Work description]</w:t>
            </w:r>
          </w:p>
        </w:tc>
      </w:tr>
    </w:tbl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8"/>
                <w:szCs w:val="18"/>
              </w:rPr>
              <w:t xml:space="preserve">Sub-Total: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$900.00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8"/>
                <w:szCs w:val="18"/>
              </w:rPr>
              <w:t xml:space="preserve">Total: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$900.00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7D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Balance Due: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7D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$900.00</w:t>
            </w:r>
          </w:p>
        </w:tc>
      </w:tr>
    </w:tbl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Open Sans" w:cs="Open Sans" w:eastAsia="Open Sans" w:hAnsi="Open Sans"/>
          <w:b/>
          <w:bCs/>
          <w:color w:val="1A1A2E"/>
          <w:sz w:val="18"/>
          <w:szCs w:val="18"/>
        </w:rPr>
        <w:t xml:space="preserve">Wire / ACH Information</w:t>
      </w:r>
    </w:p>
    <w:p>
      <w:r>
        <w:rPr>
          <w:rFonts w:ascii="Open Sans" w:cs="Open Sans" w:eastAsia="Open Sans" w:hAnsi="Open Sans"/>
          <w:b/>
          <w:bCs/>
          <w:color w:val="1A1A2E"/>
          <w:sz w:val="16"/>
          <w:szCs w:val="16"/>
        </w:rPr>
        <w:t xml:space="preserve">Bank: </w:t>
      </w: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Chase</w:t>
      </w:r>
    </w:p>
    <w:p>
      <w:r>
        <w:rPr>
          <w:rFonts w:ascii="Open Sans" w:cs="Open Sans" w:eastAsia="Open Sans" w:hAnsi="Open Sans"/>
          <w:b/>
          <w:bCs/>
          <w:color w:val="1A1A2E"/>
          <w:sz w:val="16"/>
          <w:szCs w:val="16"/>
        </w:rPr>
        <w:t xml:space="preserve">Account: </w:t>
      </w: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791013375</w:t>
      </w:r>
    </w:p>
    <w:p>
      <w:r>
        <w:rPr>
          <w:rFonts w:ascii="Open Sans" w:cs="Open Sans" w:eastAsia="Open Sans" w:hAnsi="Open Sans"/>
          <w:b/>
          <w:bCs/>
          <w:color w:val="1A1A2E"/>
          <w:sz w:val="16"/>
          <w:szCs w:val="16"/>
        </w:rPr>
        <w:t xml:space="preserve">Routing: </w:t>
      </w:r>
      <w:r>
        <w:rPr>
          <w:rFonts w:ascii="Open Sans" w:cs="Open Sans" w:eastAsia="Open Sans" w:hAnsi="Open Sans"/>
          <w:color w:val="59595B"/>
          <w:sz w:val="16"/>
          <w:szCs w:val="16"/>
        </w:rPr>
        <w:t xml:space="preserve">322271627</w:t>
      </w:r>
    </w:p>
    <w:p>
      <w:pPr>
        <w:spacing w:after="3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67D4B" w:sz="3"/>
              <w:left w:val="none" w:sz="0"/>
              <w:bottom w:val="single" w:color="F67D4B" w:sz="3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TERMS &amp; CONDITIONS</w:t>
            </w:r>
          </w:p>
          <w:p>
            <w:pPr>
              <w:spacing w:before="8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Governing Agreement: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This invoice is governed by Master Service Agreement [MSA-XXXX] and all applicable Schedules attached thereto. In the event of any conflict between the terms stated on this invoice and the MSA, the MSA shall control.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Payment: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Due within thirty (30) days of invoice date (MSA Section 3.03).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Late Fees: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1.5% per month on unpaid balance, compounding monthly (MSA Section 3.04).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Disputes: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Written notice within fifteen (15) days of invoice date. Failure to dispute constitutes acceptance (MSA Section 3.05).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Non-Payment Remedies: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Service suspension (MSA 3.06), acceleration of all amounts due (MSA 3.07), lien and security interest enforcement (MSA 3.09-3.10). Client liable for all collection costs and attorney's fees (MSA 3.08, 8.04).</w:t>
            </w:r>
          </w:p>
        </w:tc>
      </w:tr>
    </w:tbl>
    <w:sectPr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2026-03-24T23:40:01.391Z</dcterms:created>
  <dcterms:modified xsi:type="dcterms:W3CDTF">2026-03-24T23:40:01.391Z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