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473E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02 – Glossary (Technijian SDLC)</w:t>
      </w:r>
    </w:p>
    <w:p w14:paraId="68A6DE6D" w14:textId="77777777" w:rsidR="005E6441" w:rsidRPr="005E6441" w:rsidRDefault="005E6441" w:rsidP="005E6441">
      <w:r w:rsidRPr="005E6441">
        <w:t xml:space="preserve">This glossary standardizes terms across architecture, security, SDLC, UI, </w:t>
      </w:r>
      <w:proofErr w:type="gramStart"/>
      <w:r w:rsidRPr="005E6441">
        <w:t>API, data</w:t>
      </w:r>
      <w:proofErr w:type="gramEnd"/>
      <w:r w:rsidRPr="005E6441">
        <w:t xml:space="preserve">, and operations for the </w:t>
      </w:r>
      <w:r w:rsidRPr="005E6441">
        <w:rPr>
          <w:b/>
          <w:bCs/>
        </w:rPr>
        <w:t>MCPX-</w:t>
      </w:r>
      <w:proofErr w:type="spellStart"/>
      <w:r w:rsidRPr="005E6441">
        <w:rPr>
          <w:b/>
          <w:bCs/>
        </w:rPr>
        <w:t>KendoBridge</w:t>
      </w:r>
      <w:proofErr w:type="spellEnd"/>
      <w:r w:rsidRPr="005E6441">
        <w:rPr>
          <w:b/>
          <w:bCs/>
        </w:rPr>
        <w:t xml:space="preserve"> Admin Portal</w:t>
      </w:r>
      <w:r w:rsidRPr="005E6441">
        <w:t>.</w:t>
      </w:r>
    </w:p>
    <w:p w14:paraId="64AFF1AF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A. SDLC &amp; Governance</w:t>
      </w:r>
    </w:p>
    <w:p w14:paraId="4CD7AA9A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Technijian SDLC</w:t>
      </w:r>
      <w:r w:rsidRPr="005E6441">
        <w:t xml:space="preserve"> — Our delivery model: Sprint 0 discovery → iterative 2-week sprints → RTM gate → Prod. Requires evidence and quality gates at each promotion.</w:t>
      </w:r>
    </w:p>
    <w:p w14:paraId="08B8C298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Sprint 0</w:t>
      </w:r>
      <w:r w:rsidRPr="005E6441">
        <w:t xml:space="preserve"> — Foundation sprint to finalize scope, FR/NFR, context &amp; data flows, </w:t>
      </w:r>
      <w:proofErr w:type="spellStart"/>
      <w:r w:rsidRPr="005E6441">
        <w:t>OpenAPI</w:t>
      </w:r>
      <w:proofErr w:type="spellEnd"/>
      <w:r w:rsidRPr="005E6441">
        <w:t xml:space="preserve"> shell, DB SP contracts, CI skeleton, and </w:t>
      </w:r>
      <w:proofErr w:type="spellStart"/>
      <w:r w:rsidRPr="005E6441">
        <w:t>Figma→Kendo</w:t>
      </w:r>
      <w:proofErr w:type="spellEnd"/>
      <w:r w:rsidRPr="005E6441">
        <w:t xml:space="preserve"> SOP.</w:t>
      </w:r>
    </w:p>
    <w:p w14:paraId="330E033B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Definition of Ready (</w:t>
      </w:r>
      <w:proofErr w:type="spellStart"/>
      <w:proofErr w:type="gramStart"/>
      <w:r w:rsidRPr="005E6441">
        <w:rPr>
          <w:b/>
          <w:bCs/>
        </w:rPr>
        <w:t>DoR</w:t>
      </w:r>
      <w:proofErr w:type="spellEnd"/>
      <w:r w:rsidRPr="005E6441">
        <w:rPr>
          <w:b/>
          <w:bCs/>
        </w:rPr>
        <w:t>)</w:t>
      </w:r>
      <w:r w:rsidRPr="005E6441">
        <w:t xml:space="preserve"> —</w:t>
      </w:r>
      <w:proofErr w:type="gramEnd"/>
      <w:r w:rsidRPr="005E6441">
        <w:t xml:space="preserve"> User story has acceptance criteria, UX refs, data contracts, security notes, and test approach.</w:t>
      </w:r>
    </w:p>
    <w:p w14:paraId="3B9EC93F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Definition of Done (</w:t>
      </w:r>
      <w:proofErr w:type="gramStart"/>
      <w:r w:rsidRPr="005E6441">
        <w:rPr>
          <w:b/>
          <w:bCs/>
        </w:rPr>
        <w:t>DoD)</w:t>
      </w:r>
      <w:r w:rsidRPr="005E6441">
        <w:t xml:space="preserve"> —</w:t>
      </w:r>
      <w:proofErr w:type="gramEnd"/>
      <w:r w:rsidRPr="005E6441">
        <w:t xml:space="preserve"> Code, tests, security checks, docs, </w:t>
      </w:r>
      <w:proofErr w:type="spellStart"/>
      <w:r w:rsidRPr="005E6441">
        <w:t>OpenAPI</w:t>
      </w:r>
      <w:proofErr w:type="spellEnd"/>
      <w:r w:rsidRPr="005E6441">
        <w:t>, and evidence artifacts complete and merged; a11y checks pass; monitoring updated.</w:t>
      </w:r>
    </w:p>
    <w:p w14:paraId="559B556B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Evidence Pack</w:t>
      </w:r>
      <w:r w:rsidRPr="005E6441">
        <w:t xml:space="preserve"> — Release-bundled proof: build/test reports, </w:t>
      </w:r>
      <w:proofErr w:type="spellStart"/>
      <w:r w:rsidRPr="005E6441">
        <w:t>CodeQL</w:t>
      </w:r>
      <w:proofErr w:type="spellEnd"/>
      <w:r w:rsidRPr="005E6441">
        <w:t xml:space="preserve">, Dependency Review, Secret Scanning summary, </w:t>
      </w:r>
      <w:proofErr w:type="spellStart"/>
      <w:r w:rsidRPr="005E6441">
        <w:t>SBOM+attestation</w:t>
      </w:r>
      <w:proofErr w:type="spellEnd"/>
      <w:r w:rsidRPr="005E6441">
        <w:t xml:space="preserve">, </w:t>
      </w:r>
      <w:proofErr w:type="spellStart"/>
      <w:r w:rsidRPr="005E6441">
        <w:t>OpenAPI</w:t>
      </w:r>
      <w:proofErr w:type="spellEnd"/>
      <w:r w:rsidRPr="005E6441">
        <w:t xml:space="preserve"> diff/lint, monitoring snapshot, approvals. Retain ≥ 1 year.</w:t>
      </w:r>
    </w:p>
    <w:p w14:paraId="4328DA6A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RTM (Release-to-Manufacturing)</w:t>
      </w:r>
      <w:r w:rsidRPr="005E6441">
        <w:t xml:space="preserve"> — Pre-Prod environment validating against Prod read-only data or equivalent parity to reduce “surprise” in Prod.</w:t>
      </w:r>
    </w:p>
    <w:p w14:paraId="114FE79B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 xml:space="preserve">ADR (Architecture Decision </w:t>
      </w:r>
      <w:proofErr w:type="gramStart"/>
      <w:r w:rsidRPr="005E6441">
        <w:rPr>
          <w:b/>
          <w:bCs/>
        </w:rPr>
        <w:t>Record)</w:t>
      </w:r>
      <w:r w:rsidRPr="005E6441">
        <w:t xml:space="preserve"> —</w:t>
      </w:r>
      <w:proofErr w:type="gramEnd"/>
      <w:r w:rsidRPr="005E6441">
        <w:t xml:space="preserve"> Small doc recording a decision, options considered, and trade-offs.</w:t>
      </w:r>
    </w:p>
    <w:p w14:paraId="4174E9A5" w14:textId="77777777" w:rsidR="005E6441" w:rsidRPr="005E6441" w:rsidRDefault="005E6441" w:rsidP="005E6441">
      <w:pPr>
        <w:numPr>
          <w:ilvl w:val="0"/>
          <w:numId w:val="8"/>
        </w:numPr>
      </w:pPr>
      <w:proofErr w:type="spellStart"/>
      <w:r w:rsidRPr="005E6441">
        <w:rPr>
          <w:b/>
          <w:bCs/>
        </w:rPr>
        <w:t>SoT</w:t>
      </w:r>
      <w:proofErr w:type="spellEnd"/>
      <w:r w:rsidRPr="005E6441">
        <w:rPr>
          <w:b/>
          <w:bCs/>
        </w:rPr>
        <w:t xml:space="preserve"> (Source of </w:t>
      </w:r>
      <w:proofErr w:type="gramStart"/>
      <w:r w:rsidRPr="005E6441">
        <w:rPr>
          <w:b/>
          <w:bCs/>
        </w:rPr>
        <w:t>Truth)</w:t>
      </w:r>
      <w:r w:rsidRPr="005E6441">
        <w:t xml:space="preserve"> —</w:t>
      </w:r>
      <w:proofErr w:type="gramEnd"/>
      <w:r w:rsidRPr="005E6441">
        <w:t xml:space="preserve"> Canonical owner of a datum (e.g., </w:t>
      </w:r>
      <w:proofErr w:type="spellStart"/>
      <w:r w:rsidRPr="005E6441">
        <w:t>ThemeBuilder</w:t>
      </w:r>
      <w:proofErr w:type="spellEnd"/>
      <w:r w:rsidRPr="005E6441">
        <w:t xml:space="preserve"> tokens for UI theming; DB for configuration).</w:t>
      </w:r>
    </w:p>
    <w:p w14:paraId="3D342B98" w14:textId="77777777" w:rsidR="005E6441" w:rsidRPr="005E6441" w:rsidRDefault="005E6441" w:rsidP="005E6441">
      <w:pPr>
        <w:numPr>
          <w:ilvl w:val="0"/>
          <w:numId w:val="8"/>
        </w:numPr>
      </w:pPr>
      <w:r w:rsidRPr="005E6441">
        <w:rPr>
          <w:b/>
          <w:bCs/>
        </w:rPr>
        <w:t>Non-Goals</w:t>
      </w:r>
      <w:r w:rsidRPr="005E6441">
        <w:t xml:space="preserve"> — Explicitly excluded items to keep scope focused.</w:t>
      </w:r>
    </w:p>
    <w:p w14:paraId="15793918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B. Identity, Security &amp; Access</w:t>
      </w:r>
    </w:p>
    <w:p w14:paraId="668FFD25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Azure AD / Entra ID</w:t>
      </w:r>
      <w:r w:rsidRPr="005E6441">
        <w:t xml:space="preserve"> — Identity provider for SSO.</w:t>
      </w:r>
    </w:p>
    <w:p w14:paraId="3CEF73D2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MSAL (</w:t>
      </w:r>
      <w:proofErr w:type="gramStart"/>
      <w:r w:rsidRPr="005E6441">
        <w:rPr>
          <w:b/>
          <w:bCs/>
        </w:rPr>
        <w:t>PKCE)</w:t>
      </w:r>
      <w:r w:rsidRPr="005E6441">
        <w:t xml:space="preserve"> —</w:t>
      </w:r>
      <w:proofErr w:type="gramEnd"/>
      <w:r w:rsidRPr="005E6441">
        <w:t xml:space="preserve"> Client-side library and authorization flow used by the web app to obtain tokens securely.</w:t>
      </w:r>
    </w:p>
    <w:p w14:paraId="493B1109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App Registration</w:t>
      </w:r>
      <w:r w:rsidRPr="005E6441">
        <w:t xml:space="preserve"> — Azure AD application with redirect URIs, scopes, and app roles defined.</w:t>
      </w:r>
    </w:p>
    <w:p w14:paraId="7A0966A0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Access Token (</w:t>
      </w:r>
      <w:proofErr w:type="gramStart"/>
      <w:r w:rsidRPr="005E6441">
        <w:rPr>
          <w:b/>
          <w:bCs/>
        </w:rPr>
        <w:t>JWT)</w:t>
      </w:r>
      <w:r w:rsidRPr="005E6441">
        <w:t xml:space="preserve"> —</w:t>
      </w:r>
      <w:proofErr w:type="gramEnd"/>
      <w:r w:rsidRPr="005E6441">
        <w:t xml:space="preserve"> Bearer token presented to the API; validated server-side.</w:t>
      </w:r>
    </w:p>
    <w:p w14:paraId="55B2F897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lastRenderedPageBreak/>
        <w:t>ID Token</w:t>
      </w:r>
      <w:r w:rsidRPr="005E6441">
        <w:t xml:space="preserve"> — Token with user identity claims; used by the web app for display/UX, not for API auth.</w:t>
      </w:r>
    </w:p>
    <w:p w14:paraId="4DF7AB6C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Refresh Token</w:t>
      </w:r>
      <w:r w:rsidRPr="005E6441">
        <w:t xml:space="preserve"> — Long-lived token used (if enabled) to renew access tokens; often avoided in SPAs in favor of silent flows.</w:t>
      </w:r>
    </w:p>
    <w:p w14:paraId="31781DA9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App Role / AAD Group</w:t>
      </w:r>
      <w:r w:rsidRPr="005E6441">
        <w:t xml:space="preserve"> — Authorization constructs; we bind least-privilege admin roles to approved users via groups.</w:t>
      </w:r>
    </w:p>
    <w:p w14:paraId="6816A48C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RBAC</w:t>
      </w:r>
      <w:r w:rsidRPr="005E6441">
        <w:t xml:space="preserve"> — Role-based access control, enforced in the API and optionally echoed in the UI to hide unauthorized actions.</w:t>
      </w:r>
    </w:p>
    <w:p w14:paraId="47B38BFD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CORS Allow-List</w:t>
      </w:r>
      <w:r w:rsidRPr="005E6441">
        <w:t xml:space="preserve"> — Per-environment list of allowed browser origins.</w:t>
      </w:r>
    </w:p>
    <w:p w14:paraId="4E0E4FC9" w14:textId="77777777" w:rsidR="005E6441" w:rsidRPr="005E6441" w:rsidRDefault="005E6441" w:rsidP="005E6441">
      <w:pPr>
        <w:numPr>
          <w:ilvl w:val="0"/>
          <w:numId w:val="9"/>
        </w:numPr>
      </w:pPr>
      <w:proofErr w:type="spellStart"/>
      <w:r w:rsidRPr="005E6441">
        <w:rPr>
          <w:b/>
          <w:bCs/>
        </w:rPr>
        <w:t>PoLP</w:t>
      </w:r>
      <w:proofErr w:type="spellEnd"/>
      <w:r w:rsidRPr="005E6441">
        <w:t xml:space="preserve"> — Principle of Least Privilege.</w:t>
      </w:r>
    </w:p>
    <w:p w14:paraId="1617BAEC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Error Envelope</w:t>
      </w:r>
      <w:r w:rsidRPr="005E6441">
        <w:t xml:space="preserve"> — Standard API error shape: </w:t>
      </w:r>
      <w:proofErr w:type="gramStart"/>
      <w:r w:rsidRPr="005E6441">
        <w:t>{ code</w:t>
      </w:r>
      <w:proofErr w:type="gramEnd"/>
      <w:r w:rsidRPr="005E6441">
        <w:t xml:space="preserve">, message, </w:t>
      </w:r>
      <w:proofErr w:type="gramStart"/>
      <w:r w:rsidRPr="005E6441">
        <w:t>details?,</w:t>
      </w:r>
      <w:proofErr w:type="gramEnd"/>
      <w:r w:rsidRPr="005E6441">
        <w:t xml:space="preserve"> </w:t>
      </w:r>
      <w:proofErr w:type="spellStart"/>
      <w:proofErr w:type="gramStart"/>
      <w:r w:rsidRPr="005E6441">
        <w:t>requestId</w:t>
      </w:r>
      <w:proofErr w:type="spellEnd"/>
      <w:r w:rsidRPr="005E6441">
        <w:t xml:space="preserve"> }</w:t>
      </w:r>
      <w:proofErr w:type="gramEnd"/>
      <w:r w:rsidRPr="005E6441">
        <w:t>.</w:t>
      </w:r>
    </w:p>
    <w:p w14:paraId="276AAE9A" w14:textId="77777777" w:rsidR="005E6441" w:rsidRPr="005E6441" w:rsidRDefault="005E6441" w:rsidP="005E6441">
      <w:pPr>
        <w:numPr>
          <w:ilvl w:val="0"/>
          <w:numId w:val="9"/>
        </w:numPr>
      </w:pPr>
      <w:r w:rsidRPr="005E6441">
        <w:rPr>
          <w:b/>
          <w:bCs/>
        </w:rPr>
        <w:t>Rate Limiting</w:t>
      </w:r>
      <w:r w:rsidRPr="005E6441">
        <w:t xml:space="preserve"> — Server policy limiting requests per principal/IP/session; violations return </w:t>
      </w:r>
      <w:r w:rsidRPr="005E6441">
        <w:rPr>
          <w:b/>
          <w:bCs/>
        </w:rPr>
        <w:t>429</w:t>
      </w:r>
      <w:r w:rsidRPr="005E6441">
        <w:t xml:space="preserve"> with Retry-After.</w:t>
      </w:r>
    </w:p>
    <w:p w14:paraId="42B90CA2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C. Frontend (Design → Code)</w:t>
      </w:r>
    </w:p>
    <w:p w14:paraId="50266FA7" w14:textId="77777777" w:rsidR="005E6441" w:rsidRPr="005E6441" w:rsidRDefault="005E6441" w:rsidP="005E6441">
      <w:pPr>
        <w:numPr>
          <w:ilvl w:val="0"/>
          <w:numId w:val="10"/>
        </w:numPr>
      </w:pPr>
      <w:r w:rsidRPr="005E6441">
        <w:rPr>
          <w:b/>
          <w:bCs/>
        </w:rPr>
        <w:t>Figma Make Prototype</w:t>
      </w:r>
      <w:r w:rsidRPr="005E6441">
        <w:t xml:space="preserve"> — Design source; frames named by route (/login, /dashboard, /config, etc.).</w:t>
      </w:r>
    </w:p>
    <w:p w14:paraId="6D963A79" w14:textId="77777777" w:rsidR="005E6441" w:rsidRPr="005E6441" w:rsidRDefault="005E6441" w:rsidP="005E6441">
      <w:pPr>
        <w:numPr>
          <w:ilvl w:val="0"/>
          <w:numId w:val="10"/>
        </w:numPr>
      </w:pPr>
      <w:proofErr w:type="spellStart"/>
      <w:r w:rsidRPr="005E6441">
        <w:rPr>
          <w:b/>
          <w:bCs/>
        </w:rPr>
        <w:t>ThemeBuilder</w:t>
      </w:r>
      <w:proofErr w:type="spellEnd"/>
      <w:r w:rsidRPr="005E6441">
        <w:rPr>
          <w:b/>
          <w:bCs/>
        </w:rPr>
        <w:t xml:space="preserve"> Tokens</w:t>
      </w:r>
      <w:r w:rsidRPr="005E6441">
        <w:t xml:space="preserve"> — Design tokens exported from Telerik </w:t>
      </w:r>
      <w:proofErr w:type="spellStart"/>
      <w:proofErr w:type="gramStart"/>
      <w:r w:rsidRPr="005E6441">
        <w:t>ThemeBuilder</w:t>
      </w:r>
      <w:proofErr w:type="spellEnd"/>
      <w:r w:rsidRPr="005E6441">
        <w:t>;</w:t>
      </w:r>
      <w:proofErr w:type="gramEnd"/>
      <w:r w:rsidRPr="005E6441">
        <w:t xml:space="preserve"> single source of truth for theming.</w:t>
      </w:r>
    </w:p>
    <w:p w14:paraId="374E27DF" w14:textId="77777777" w:rsidR="005E6441" w:rsidRPr="005E6441" w:rsidRDefault="005E6441" w:rsidP="005E6441">
      <w:pPr>
        <w:numPr>
          <w:ilvl w:val="0"/>
          <w:numId w:val="10"/>
        </w:numPr>
      </w:pPr>
      <w:proofErr w:type="spellStart"/>
      <w:r w:rsidRPr="005E6441">
        <w:rPr>
          <w:b/>
          <w:bCs/>
        </w:rPr>
        <w:t>KendoReact</w:t>
      </w:r>
      <w:proofErr w:type="spellEnd"/>
      <w:r w:rsidRPr="005E6441">
        <w:rPr>
          <w:b/>
          <w:bCs/>
        </w:rPr>
        <w:t xml:space="preserve"> (Fluent </w:t>
      </w:r>
      <w:proofErr w:type="gramStart"/>
      <w:r w:rsidRPr="005E6441">
        <w:rPr>
          <w:b/>
          <w:bCs/>
        </w:rPr>
        <w:t>2)</w:t>
      </w:r>
      <w:r w:rsidRPr="005E6441">
        <w:t xml:space="preserve"> —</w:t>
      </w:r>
      <w:proofErr w:type="gramEnd"/>
      <w:r w:rsidRPr="005E6441">
        <w:t xml:space="preserve"> Component library/theme used in code to replace prototype widgets 1:1 (Grid, Drawer, </w:t>
      </w:r>
      <w:proofErr w:type="spellStart"/>
      <w:r w:rsidRPr="005E6441">
        <w:t>AppBar</w:t>
      </w:r>
      <w:proofErr w:type="spellEnd"/>
      <w:r w:rsidRPr="005E6441">
        <w:t>/Toolbar, Form, Inputs, Charts, Dialogs, Notifications).</w:t>
      </w:r>
    </w:p>
    <w:p w14:paraId="4C5C6FDA" w14:textId="77777777" w:rsidR="005E6441" w:rsidRPr="005E6441" w:rsidRDefault="005E6441" w:rsidP="005E6441">
      <w:pPr>
        <w:numPr>
          <w:ilvl w:val="0"/>
          <w:numId w:val="10"/>
        </w:numPr>
      </w:pPr>
      <w:r w:rsidRPr="005E6441">
        <w:rPr>
          <w:b/>
          <w:bCs/>
        </w:rPr>
        <w:t>Component Mapping</w:t>
      </w:r>
      <w:r w:rsidRPr="005E6441">
        <w:t xml:space="preserve"> — Page-by-page mapping from Figma elements to </w:t>
      </w:r>
      <w:proofErr w:type="spellStart"/>
      <w:r w:rsidRPr="005E6441">
        <w:t>KendoReact</w:t>
      </w:r>
      <w:proofErr w:type="spellEnd"/>
      <w:r w:rsidRPr="005E6441">
        <w:t xml:space="preserve"> Fluent 2 components.</w:t>
      </w:r>
    </w:p>
    <w:p w14:paraId="113BCFDF" w14:textId="77777777" w:rsidR="005E6441" w:rsidRPr="005E6441" w:rsidRDefault="005E6441" w:rsidP="005E6441">
      <w:pPr>
        <w:numPr>
          <w:ilvl w:val="0"/>
          <w:numId w:val="10"/>
        </w:numPr>
      </w:pPr>
      <w:r w:rsidRPr="005E6441">
        <w:rPr>
          <w:b/>
          <w:bCs/>
        </w:rPr>
        <w:t>A11y / WCAG 2.2 AA</w:t>
      </w:r>
      <w:r w:rsidRPr="005E6441">
        <w:t xml:space="preserve"> — Accessibility baseline enforced via automated axe checks and manual keyboard/focus review.</w:t>
      </w:r>
    </w:p>
    <w:p w14:paraId="3EA2510A" w14:textId="77777777" w:rsidR="005E6441" w:rsidRPr="005E6441" w:rsidRDefault="005E6441" w:rsidP="005E6441">
      <w:pPr>
        <w:numPr>
          <w:ilvl w:val="0"/>
          <w:numId w:val="10"/>
        </w:numPr>
      </w:pPr>
      <w:r w:rsidRPr="005E6441">
        <w:rPr>
          <w:b/>
          <w:bCs/>
        </w:rPr>
        <w:t>Client-Side Routing</w:t>
      </w:r>
      <w:r w:rsidRPr="005E6441">
        <w:t xml:space="preserve"> — Route structure mirrors page frames; guards enforce auth and role checks.</w:t>
      </w:r>
    </w:p>
    <w:p w14:paraId="740BBADB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D. API &amp; Integration</w:t>
      </w:r>
    </w:p>
    <w:p w14:paraId="010C55AE" w14:textId="77777777" w:rsidR="005E6441" w:rsidRPr="005E6441" w:rsidRDefault="005E6441" w:rsidP="005E6441">
      <w:pPr>
        <w:numPr>
          <w:ilvl w:val="0"/>
          <w:numId w:val="11"/>
        </w:numPr>
      </w:pPr>
      <w:r w:rsidRPr="005E6441">
        <w:rPr>
          <w:b/>
          <w:bCs/>
        </w:rPr>
        <w:t>Admin API</w:t>
      </w:r>
      <w:r w:rsidRPr="005E6441">
        <w:t xml:space="preserve"> — .NET 8 service exposing JSON endpoints; supports </w:t>
      </w:r>
      <w:r w:rsidRPr="005E6441">
        <w:rPr>
          <w:b/>
          <w:bCs/>
        </w:rPr>
        <w:t>SSE</w:t>
      </w:r>
      <w:r w:rsidRPr="005E6441">
        <w:t xml:space="preserve"> for streaming.</w:t>
      </w:r>
    </w:p>
    <w:p w14:paraId="513F99E6" w14:textId="77777777" w:rsidR="005E6441" w:rsidRPr="005E6441" w:rsidRDefault="005E6441" w:rsidP="005E6441">
      <w:pPr>
        <w:numPr>
          <w:ilvl w:val="0"/>
          <w:numId w:val="11"/>
        </w:numPr>
      </w:pPr>
      <w:proofErr w:type="spellStart"/>
      <w:r w:rsidRPr="005E6441">
        <w:rPr>
          <w:b/>
          <w:bCs/>
        </w:rPr>
        <w:lastRenderedPageBreak/>
        <w:t>OpenAPI</w:t>
      </w:r>
      <w:proofErr w:type="spellEnd"/>
      <w:r w:rsidRPr="005E6441">
        <w:rPr>
          <w:b/>
          <w:bCs/>
        </w:rPr>
        <w:t xml:space="preserve"> 3.1</w:t>
      </w:r>
      <w:r w:rsidRPr="005E6441">
        <w:t xml:space="preserve"> — Machine-readable contract for endpoints, auth, errors, and schemas; validated in CI.</w:t>
      </w:r>
    </w:p>
    <w:p w14:paraId="0FFFF469" w14:textId="77777777" w:rsidR="005E6441" w:rsidRPr="005E6441" w:rsidRDefault="005E6441" w:rsidP="005E6441">
      <w:pPr>
        <w:numPr>
          <w:ilvl w:val="0"/>
          <w:numId w:val="11"/>
        </w:numPr>
      </w:pPr>
      <w:r w:rsidRPr="005E6441">
        <w:rPr>
          <w:b/>
          <w:bCs/>
        </w:rPr>
        <w:t>Bearer Auth</w:t>
      </w:r>
      <w:r w:rsidRPr="005E6441">
        <w:t xml:space="preserve"> — API expects a valid JWT in Authorization: Bearer &lt;token&gt;.</w:t>
      </w:r>
    </w:p>
    <w:p w14:paraId="695015A4" w14:textId="77777777" w:rsidR="005E6441" w:rsidRPr="005E6441" w:rsidRDefault="005E6441" w:rsidP="005E6441">
      <w:pPr>
        <w:numPr>
          <w:ilvl w:val="0"/>
          <w:numId w:val="11"/>
        </w:numPr>
      </w:pPr>
      <w:r w:rsidRPr="005E6441">
        <w:rPr>
          <w:b/>
          <w:bCs/>
        </w:rPr>
        <w:t xml:space="preserve">SSE (Server-Sent </w:t>
      </w:r>
      <w:proofErr w:type="gramStart"/>
      <w:r w:rsidRPr="005E6441">
        <w:rPr>
          <w:b/>
          <w:bCs/>
        </w:rPr>
        <w:t>Events)</w:t>
      </w:r>
      <w:r w:rsidRPr="005E6441">
        <w:t xml:space="preserve"> —</w:t>
      </w:r>
      <w:proofErr w:type="gramEnd"/>
      <w:r w:rsidRPr="005E6441">
        <w:t xml:space="preserve"> Unidirectional streaming over HTTP. Clients send Accept: text/event-stream; server emits event: / data: lines with heartbeats.</w:t>
      </w:r>
    </w:p>
    <w:p w14:paraId="405B28F1" w14:textId="77777777" w:rsidR="005E6441" w:rsidRPr="005E6441" w:rsidRDefault="005E6441" w:rsidP="005E6441">
      <w:pPr>
        <w:numPr>
          <w:ilvl w:val="0"/>
          <w:numId w:val="11"/>
        </w:numPr>
      </w:pPr>
      <w:r w:rsidRPr="005E6441">
        <w:rPr>
          <w:b/>
          <w:bCs/>
        </w:rPr>
        <w:t>Heartbeat</w:t>
      </w:r>
      <w:r w:rsidRPr="005E6441">
        <w:t xml:space="preserve"> — Periodic SSE event to keep connections alive and drive progress UI.</w:t>
      </w:r>
    </w:p>
    <w:p w14:paraId="043E82C4" w14:textId="77777777" w:rsidR="005E6441" w:rsidRPr="005E6441" w:rsidRDefault="005E6441" w:rsidP="005E6441">
      <w:pPr>
        <w:numPr>
          <w:ilvl w:val="0"/>
          <w:numId w:val="11"/>
        </w:numPr>
      </w:pPr>
      <w:r w:rsidRPr="005E6441">
        <w:rPr>
          <w:b/>
          <w:bCs/>
        </w:rPr>
        <w:t>Idempotency-Key</w:t>
      </w:r>
      <w:r w:rsidRPr="005E6441">
        <w:t xml:space="preserve"> — Optional header to safely retry operations without duplicating effects.</w:t>
      </w:r>
    </w:p>
    <w:p w14:paraId="6D2B4B2E" w14:textId="77777777" w:rsidR="005E6441" w:rsidRPr="005E6441" w:rsidRDefault="005E6441" w:rsidP="005E6441">
      <w:pPr>
        <w:numPr>
          <w:ilvl w:val="0"/>
          <w:numId w:val="11"/>
        </w:numPr>
      </w:pPr>
      <w:r w:rsidRPr="005E6441">
        <w:rPr>
          <w:b/>
          <w:bCs/>
        </w:rPr>
        <w:t>Health/</w:t>
      </w:r>
      <w:proofErr w:type="gramStart"/>
      <w:r w:rsidRPr="005E6441">
        <w:rPr>
          <w:b/>
          <w:bCs/>
        </w:rPr>
        <w:t>Ready</w:t>
      </w:r>
      <w:r w:rsidRPr="005E6441">
        <w:t xml:space="preserve"> — /</w:t>
      </w:r>
      <w:proofErr w:type="spellStart"/>
      <w:proofErr w:type="gramEnd"/>
      <w:r w:rsidRPr="005E6441">
        <w:t>healthz</w:t>
      </w:r>
      <w:proofErr w:type="spellEnd"/>
      <w:r w:rsidRPr="005E6441">
        <w:t xml:space="preserve"> (process &amp; dependencies) and /ready (service is ready to take traffic).</w:t>
      </w:r>
    </w:p>
    <w:p w14:paraId="30F00378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E. Data &amp; Persistence</w:t>
      </w:r>
    </w:p>
    <w:p w14:paraId="02C1F1D5" w14:textId="77777777" w:rsidR="005E6441" w:rsidRPr="005E6441" w:rsidRDefault="005E6441" w:rsidP="005E6441">
      <w:pPr>
        <w:numPr>
          <w:ilvl w:val="0"/>
          <w:numId w:val="12"/>
        </w:numPr>
      </w:pPr>
      <w:r w:rsidRPr="005E6441">
        <w:rPr>
          <w:b/>
          <w:bCs/>
        </w:rPr>
        <w:t>SQL Server 2022</w:t>
      </w:r>
      <w:r w:rsidRPr="005E6441">
        <w:t xml:space="preserve"> — Primary relational store.</w:t>
      </w:r>
    </w:p>
    <w:p w14:paraId="656726AF" w14:textId="77777777" w:rsidR="005E6441" w:rsidRPr="005E6441" w:rsidRDefault="005E6441" w:rsidP="005E6441">
      <w:pPr>
        <w:numPr>
          <w:ilvl w:val="0"/>
          <w:numId w:val="12"/>
        </w:numPr>
      </w:pPr>
      <w:r w:rsidRPr="005E6441">
        <w:rPr>
          <w:b/>
          <w:bCs/>
        </w:rPr>
        <w:t>Add-Only Schema Rule</w:t>
      </w:r>
      <w:r w:rsidRPr="005E6441">
        <w:t xml:space="preserve"> — Migrations never drop or modify columns in place; we add columns and deprecate at boundaries.</w:t>
      </w:r>
    </w:p>
    <w:p w14:paraId="4143EB28" w14:textId="77777777" w:rsidR="005E6441" w:rsidRPr="005E6441" w:rsidRDefault="005E6441" w:rsidP="005E6441">
      <w:pPr>
        <w:numPr>
          <w:ilvl w:val="0"/>
          <w:numId w:val="12"/>
        </w:numPr>
      </w:pPr>
      <w:r w:rsidRPr="005E6441">
        <w:rPr>
          <w:b/>
          <w:bCs/>
        </w:rPr>
        <w:t>SP-Only DAL</w:t>
      </w:r>
      <w:r w:rsidRPr="005E6441">
        <w:t xml:space="preserve"> — Application interacts with the DB exclusively via stored procedures (no ad-hoc SQL from code).</w:t>
      </w:r>
    </w:p>
    <w:p w14:paraId="65A1375E" w14:textId="77777777" w:rsidR="005E6441" w:rsidRPr="005E6441" w:rsidRDefault="005E6441" w:rsidP="005E6441">
      <w:pPr>
        <w:numPr>
          <w:ilvl w:val="0"/>
          <w:numId w:val="12"/>
        </w:numPr>
      </w:pPr>
      <w:proofErr w:type="spellStart"/>
      <w:r w:rsidRPr="005E6441">
        <w:rPr>
          <w:b/>
          <w:bCs/>
        </w:rPr>
        <w:t>AppConfig</w:t>
      </w:r>
      <w:proofErr w:type="spellEnd"/>
      <w:r w:rsidRPr="005E6441">
        <w:rPr>
          <w:b/>
          <w:bCs/>
        </w:rPr>
        <w:t xml:space="preserve"> / </w:t>
      </w:r>
      <w:proofErr w:type="spellStart"/>
      <w:r w:rsidRPr="005E6441">
        <w:rPr>
          <w:b/>
          <w:bCs/>
        </w:rPr>
        <w:t>FeatureFlag</w:t>
      </w:r>
      <w:proofErr w:type="spellEnd"/>
      <w:r w:rsidRPr="005E6441">
        <w:rPr>
          <w:b/>
          <w:bCs/>
        </w:rPr>
        <w:t xml:space="preserve"> / Lookup</w:t>
      </w:r>
      <w:r w:rsidRPr="005E6441">
        <w:t xml:space="preserve"> — Canonical configuration tables accessed via SPs; no hard-coded config in code.</w:t>
      </w:r>
    </w:p>
    <w:p w14:paraId="74D6092E" w14:textId="77777777" w:rsidR="005E6441" w:rsidRPr="005E6441" w:rsidRDefault="005E6441" w:rsidP="005E6441">
      <w:pPr>
        <w:numPr>
          <w:ilvl w:val="0"/>
          <w:numId w:val="12"/>
        </w:numPr>
      </w:pPr>
      <w:r w:rsidRPr="005E6441">
        <w:rPr>
          <w:b/>
          <w:bCs/>
        </w:rPr>
        <w:t>Audit Trail</w:t>
      </w:r>
      <w:r w:rsidRPr="005E6441">
        <w:t xml:space="preserve"> — Immutable log of config mutations and significant actions (who/what/when).</w:t>
      </w:r>
    </w:p>
    <w:p w14:paraId="522B2977" w14:textId="77777777" w:rsidR="005E6441" w:rsidRPr="005E6441" w:rsidRDefault="005E6441" w:rsidP="005E6441">
      <w:pPr>
        <w:numPr>
          <w:ilvl w:val="0"/>
          <w:numId w:val="12"/>
        </w:numPr>
      </w:pPr>
      <w:r w:rsidRPr="005E6441">
        <w:rPr>
          <w:b/>
          <w:bCs/>
        </w:rPr>
        <w:t>Migration Naming</w:t>
      </w:r>
      <w:r w:rsidRPr="005E6441">
        <w:t xml:space="preserve"> — </w:t>
      </w:r>
      <w:proofErr w:type="spellStart"/>
      <w:r w:rsidRPr="005E6441">
        <w:t>VYYYYMMDDHHmm</w:t>
      </w:r>
      <w:proofErr w:type="spellEnd"/>
      <w:r w:rsidRPr="005E6441">
        <w:t>__</w:t>
      </w:r>
      <w:proofErr w:type="spellStart"/>
      <w:r w:rsidRPr="005E6441">
        <w:t>description.sql</w:t>
      </w:r>
      <w:proofErr w:type="spellEnd"/>
      <w:r w:rsidRPr="005E6441">
        <w:t xml:space="preserve"> style (monotonic and auditable).</w:t>
      </w:r>
    </w:p>
    <w:p w14:paraId="5CE28887" w14:textId="77777777" w:rsidR="005E6441" w:rsidRPr="005E6441" w:rsidRDefault="005E6441" w:rsidP="005E6441">
      <w:pPr>
        <w:numPr>
          <w:ilvl w:val="0"/>
          <w:numId w:val="12"/>
        </w:numPr>
      </w:pPr>
      <w:r w:rsidRPr="005E6441">
        <w:rPr>
          <w:b/>
          <w:bCs/>
        </w:rPr>
        <w:t>Effective Config</w:t>
      </w:r>
      <w:r w:rsidRPr="005E6441">
        <w:t xml:space="preserve"> — The merged, environment-specific view of configuration the API serves to the UI for non-secret keys.</w:t>
      </w:r>
    </w:p>
    <w:p w14:paraId="799C9C20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F. Observability, Reliability &amp; Performance</w:t>
      </w:r>
    </w:p>
    <w:p w14:paraId="081E65D9" w14:textId="77777777" w:rsidR="005E6441" w:rsidRPr="005E6441" w:rsidRDefault="005E6441" w:rsidP="005E6441">
      <w:pPr>
        <w:numPr>
          <w:ilvl w:val="0"/>
          <w:numId w:val="13"/>
        </w:numPr>
      </w:pPr>
      <w:r w:rsidRPr="005E6441">
        <w:rPr>
          <w:b/>
          <w:bCs/>
        </w:rPr>
        <w:t>SLI/SLO</w:t>
      </w:r>
      <w:r w:rsidRPr="005E6441">
        <w:t xml:space="preserve"> — Indicators and objectives (e.g., p95 latency, error rate, TTFB for SSE).</w:t>
      </w:r>
    </w:p>
    <w:p w14:paraId="1135F0CE" w14:textId="77777777" w:rsidR="005E6441" w:rsidRPr="005E6441" w:rsidRDefault="005E6441" w:rsidP="005E6441">
      <w:pPr>
        <w:numPr>
          <w:ilvl w:val="0"/>
          <w:numId w:val="13"/>
        </w:numPr>
      </w:pPr>
      <w:r w:rsidRPr="005E6441">
        <w:rPr>
          <w:b/>
          <w:bCs/>
        </w:rPr>
        <w:t xml:space="preserve">TTFB (Time to First </w:t>
      </w:r>
      <w:proofErr w:type="gramStart"/>
      <w:r w:rsidRPr="005E6441">
        <w:rPr>
          <w:b/>
          <w:bCs/>
        </w:rPr>
        <w:t>Byte)</w:t>
      </w:r>
      <w:r w:rsidRPr="005E6441">
        <w:t xml:space="preserve"> —</w:t>
      </w:r>
      <w:proofErr w:type="gramEnd"/>
      <w:r w:rsidRPr="005E6441">
        <w:t xml:space="preserve"> Target for first SSE event; baseline ≤ 200 </w:t>
      </w:r>
      <w:proofErr w:type="spellStart"/>
      <w:r w:rsidRPr="005E6441">
        <w:t>ms</w:t>
      </w:r>
      <w:proofErr w:type="spellEnd"/>
      <w:r w:rsidRPr="005E6441">
        <w:t xml:space="preserve"> for healthy paths.</w:t>
      </w:r>
    </w:p>
    <w:p w14:paraId="5D63C070" w14:textId="77777777" w:rsidR="005E6441" w:rsidRPr="005E6441" w:rsidRDefault="005E6441" w:rsidP="005E6441">
      <w:pPr>
        <w:numPr>
          <w:ilvl w:val="0"/>
          <w:numId w:val="13"/>
        </w:numPr>
      </w:pPr>
      <w:r w:rsidRPr="005E6441">
        <w:rPr>
          <w:b/>
          <w:bCs/>
        </w:rPr>
        <w:t>p50/p95</w:t>
      </w:r>
      <w:r w:rsidRPr="005E6441">
        <w:t xml:space="preserve"> — Latency percentiles; tracked per endpoint and surfaced on the dashboard.</w:t>
      </w:r>
    </w:p>
    <w:p w14:paraId="56DA6BF7" w14:textId="77777777" w:rsidR="005E6441" w:rsidRPr="005E6441" w:rsidRDefault="005E6441" w:rsidP="005E6441">
      <w:pPr>
        <w:numPr>
          <w:ilvl w:val="0"/>
          <w:numId w:val="13"/>
        </w:numPr>
      </w:pPr>
      <w:r w:rsidRPr="005E6441">
        <w:rPr>
          <w:b/>
          <w:bCs/>
        </w:rPr>
        <w:lastRenderedPageBreak/>
        <w:t>Error Budget</w:t>
      </w:r>
      <w:r w:rsidRPr="005E6441">
        <w:t xml:space="preserve"> — Allowable failure time before we pause feature work to stabilize.</w:t>
      </w:r>
    </w:p>
    <w:p w14:paraId="146CD66C" w14:textId="77777777" w:rsidR="005E6441" w:rsidRPr="005E6441" w:rsidRDefault="005E6441" w:rsidP="005E6441">
      <w:pPr>
        <w:numPr>
          <w:ilvl w:val="0"/>
          <w:numId w:val="13"/>
        </w:numPr>
      </w:pPr>
      <w:r w:rsidRPr="005E6441">
        <w:rPr>
          <w:b/>
          <w:bCs/>
        </w:rPr>
        <w:t>Structured Logging</w:t>
      </w:r>
      <w:r w:rsidRPr="005E6441">
        <w:t xml:space="preserve"> — JSON logs with </w:t>
      </w:r>
      <w:proofErr w:type="spellStart"/>
      <w:r w:rsidRPr="005E6441">
        <w:t>requestId</w:t>
      </w:r>
      <w:proofErr w:type="spellEnd"/>
      <w:r w:rsidRPr="005E6441">
        <w:t>/correlation IDs and key fields (user, role, route, result).</w:t>
      </w:r>
    </w:p>
    <w:p w14:paraId="2E6AB218" w14:textId="77777777" w:rsidR="005E6441" w:rsidRPr="005E6441" w:rsidRDefault="005E6441" w:rsidP="005E6441">
      <w:pPr>
        <w:numPr>
          <w:ilvl w:val="0"/>
          <w:numId w:val="13"/>
        </w:numPr>
      </w:pPr>
      <w:r w:rsidRPr="005E6441">
        <w:rPr>
          <w:b/>
          <w:bCs/>
        </w:rPr>
        <w:t>Metrics</w:t>
      </w:r>
      <w:r w:rsidRPr="005E6441">
        <w:t xml:space="preserve"> — Counters/gauges/histograms for requests, errors, queue depth, job durations, and resource usage.</w:t>
      </w:r>
    </w:p>
    <w:p w14:paraId="4E3F19C9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 xml:space="preserve">G. CI/CD &amp; </w:t>
      </w:r>
      <w:proofErr w:type="spellStart"/>
      <w:r w:rsidRPr="005E6441">
        <w:rPr>
          <w:b/>
          <w:bCs/>
        </w:rPr>
        <w:t>DevSecOps</w:t>
      </w:r>
      <w:proofErr w:type="spellEnd"/>
    </w:p>
    <w:p w14:paraId="65CD1067" w14:textId="77777777" w:rsidR="005E6441" w:rsidRPr="005E6441" w:rsidRDefault="005E6441" w:rsidP="005E6441">
      <w:pPr>
        <w:numPr>
          <w:ilvl w:val="0"/>
          <w:numId w:val="14"/>
        </w:numPr>
      </w:pPr>
      <w:r w:rsidRPr="005E6441">
        <w:rPr>
          <w:b/>
          <w:bCs/>
        </w:rPr>
        <w:t>GitHub Actions</w:t>
      </w:r>
      <w:r w:rsidRPr="005E6441">
        <w:t xml:space="preserve"> — CI for build/test/lint/a11y; CD for environment promotions with approvals and protections.</w:t>
      </w:r>
    </w:p>
    <w:p w14:paraId="06FB3E33" w14:textId="77777777" w:rsidR="005E6441" w:rsidRPr="005E6441" w:rsidRDefault="005E6441" w:rsidP="005E6441">
      <w:pPr>
        <w:numPr>
          <w:ilvl w:val="0"/>
          <w:numId w:val="14"/>
        </w:numPr>
      </w:pPr>
      <w:proofErr w:type="spellStart"/>
      <w:r w:rsidRPr="005E6441">
        <w:rPr>
          <w:b/>
          <w:bCs/>
        </w:rPr>
        <w:t>CodeQL</w:t>
      </w:r>
      <w:proofErr w:type="spellEnd"/>
      <w:r w:rsidRPr="005E6441">
        <w:t xml:space="preserve"> — Static analysis for C# and JS/TS code.</w:t>
      </w:r>
    </w:p>
    <w:p w14:paraId="6F8DEAE3" w14:textId="77777777" w:rsidR="005E6441" w:rsidRPr="005E6441" w:rsidRDefault="005E6441" w:rsidP="005E6441">
      <w:pPr>
        <w:numPr>
          <w:ilvl w:val="0"/>
          <w:numId w:val="14"/>
        </w:numPr>
      </w:pPr>
      <w:r w:rsidRPr="005E6441">
        <w:rPr>
          <w:b/>
          <w:bCs/>
        </w:rPr>
        <w:t>Dependency Review</w:t>
      </w:r>
      <w:r w:rsidRPr="005E6441">
        <w:t xml:space="preserve"> — Checks for vulnerable or risky dependencies on PR.</w:t>
      </w:r>
    </w:p>
    <w:p w14:paraId="327907CB" w14:textId="77777777" w:rsidR="005E6441" w:rsidRPr="005E6441" w:rsidRDefault="005E6441" w:rsidP="005E6441">
      <w:pPr>
        <w:numPr>
          <w:ilvl w:val="0"/>
          <w:numId w:val="14"/>
        </w:numPr>
      </w:pPr>
      <w:r w:rsidRPr="005E6441">
        <w:rPr>
          <w:b/>
          <w:bCs/>
        </w:rPr>
        <w:t>Secret Scanning</w:t>
      </w:r>
      <w:r w:rsidRPr="005E6441">
        <w:t xml:space="preserve"> — Ensures no secrets are committed; fails builds on detection.</w:t>
      </w:r>
    </w:p>
    <w:p w14:paraId="682CBE00" w14:textId="77777777" w:rsidR="005E6441" w:rsidRPr="005E6441" w:rsidRDefault="005E6441" w:rsidP="005E6441">
      <w:pPr>
        <w:numPr>
          <w:ilvl w:val="0"/>
          <w:numId w:val="14"/>
        </w:numPr>
      </w:pPr>
      <w:r w:rsidRPr="005E6441">
        <w:rPr>
          <w:b/>
          <w:bCs/>
        </w:rPr>
        <w:t>SBOM (</w:t>
      </w:r>
      <w:proofErr w:type="spellStart"/>
      <w:r w:rsidRPr="005E6441">
        <w:rPr>
          <w:b/>
          <w:bCs/>
        </w:rPr>
        <w:t>CycloneDX</w:t>
      </w:r>
      <w:proofErr w:type="spellEnd"/>
      <w:r w:rsidRPr="005E6441">
        <w:rPr>
          <w:b/>
          <w:bCs/>
        </w:rPr>
        <w:t>)</w:t>
      </w:r>
      <w:r w:rsidRPr="005E6441">
        <w:t xml:space="preserve"> — Software bill of materials generated per build; signed/attested.</w:t>
      </w:r>
    </w:p>
    <w:p w14:paraId="1781FC3D" w14:textId="77777777" w:rsidR="005E6441" w:rsidRPr="005E6441" w:rsidRDefault="005E6441" w:rsidP="005E6441">
      <w:pPr>
        <w:numPr>
          <w:ilvl w:val="0"/>
          <w:numId w:val="14"/>
        </w:numPr>
      </w:pPr>
      <w:proofErr w:type="spellStart"/>
      <w:r w:rsidRPr="005E6441">
        <w:rPr>
          <w:b/>
          <w:bCs/>
        </w:rPr>
        <w:t>OpenAPI</w:t>
      </w:r>
      <w:proofErr w:type="spellEnd"/>
      <w:r w:rsidRPr="005E6441">
        <w:rPr>
          <w:b/>
          <w:bCs/>
        </w:rPr>
        <w:t xml:space="preserve"> Lint/Diff</w:t>
      </w:r>
      <w:r w:rsidRPr="005E6441">
        <w:t xml:space="preserve"> — Validates API changes and flags breaking deltas.</w:t>
      </w:r>
    </w:p>
    <w:p w14:paraId="70B67BC3" w14:textId="77777777" w:rsidR="005E6441" w:rsidRPr="005E6441" w:rsidRDefault="005E6441" w:rsidP="005E6441">
      <w:pPr>
        <w:numPr>
          <w:ilvl w:val="0"/>
          <w:numId w:val="14"/>
        </w:numPr>
      </w:pPr>
      <w:r w:rsidRPr="005E6441">
        <w:rPr>
          <w:b/>
          <w:bCs/>
        </w:rPr>
        <w:t>Axe CI</w:t>
      </w:r>
      <w:r w:rsidRPr="005E6441">
        <w:t xml:space="preserve"> — Automated accessibility checks against critical flows.</w:t>
      </w:r>
    </w:p>
    <w:p w14:paraId="23B6CC3F" w14:textId="77777777" w:rsidR="005E6441" w:rsidRPr="005E6441" w:rsidRDefault="005E6441" w:rsidP="005E6441">
      <w:pPr>
        <w:numPr>
          <w:ilvl w:val="0"/>
          <w:numId w:val="14"/>
        </w:numPr>
      </w:pPr>
      <w:r w:rsidRPr="005E6441">
        <w:rPr>
          <w:b/>
          <w:bCs/>
        </w:rPr>
        <w:t>CODEOWNERS / PR Template</w:t>
      </w:r>
      <w:r w:rsidRPr="005E6441">
        <w:t xml:space="preserve"> — Guardrails that route reviews and enforce checklist items.</w:t>
      </w:r>
    </w:p>
    <w:p w14:paraId="36C64FA6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H. Environments &amp; Operations</w:t>
      </w:r>
    </w:p>
    <w:p w14:paraId="70EA6712" w14:textId="77777777" w:rsidR="005E6441" w:rsidRPr="005E6441" w:rsidRDefault="005E6441" w:rsidP="005E6441">
      <w:pPr>
        <w:numPr>
          <w:ilvl w:val="0"/>
          <w:numId w:val="15"/>
        </w:numPr>
      </w:pPr>
      <w:r w:rsidRPr="005E6441">
        <w:rPr>
          <w:b/>
          <w:bCs/>
        </w:rPr>
        <w:t>Alpha → Beta → RTM → Prod</w:t>
      </w:r>
      <w:r w:rsidRPr="005E6441">
        <w:t xml:space="preserve"> — Promotion order; each stage increases confidence via traffic, data parity, and evidence.</w:t>
      </w:r>
    </w:p>
    <w:p w14:paraId="6B812096" w14:textId="77777777" w:rsidR="005E6441" w:rsidRPr="005E6441" w:rsidRDefault="005E6441" w:rsidP="005E6441">
      <w:pPr>
        <w:numPr>
          <w:ilvl w:val="0"/>
          <w:numId w:val="15"/>
        </w:numPr>
      </w:pPr>
      <w:r w:rsidRPr="005E6441">
        <w:rPr>
          <w:b/>
          <w:bCs/>
        </w:rPr>
        <w:t>Config Parity</w:t>
      </w:r>
      <w:r w:rsidRPr="005E6441">
        <w:t xml:space="preserve"> — Evidence that RTM mirrors Prod-intended settings; differences are deliberate and documented.</w:t>
      </w:r>
    </w:p>
    <w:p w14:paraId="53CC0EDB" w14:textId="77777777" w:rsidR="005E6441" w:rsidRPr="005E6441" w:rsidRDefault="005E6441" w:rsidP="005E6441">
      <w:pPr>
        <w:numPr>
          <w:ilvl w:val="0"/>
          <w:numId w:val="15"/>
        </w:numPr>
      </w:pPr>
      <w:r w:rsidRPr="005E6441">
        <w:rPr>
          <w:b/>
          <w:bCs/>
        </w:rPr>
        <w:t>Feature Flags</w:t>
      </w:r>
      <w:r w:rsidRPr="005E6441">
        <w:t xml:space="preserve"> — Controlled rollout of capabilities per environment/tenant/user role.</w:t>
      </w:r>
    </w:p>
    <w:p w14:paraId="5662C4D8" w14:textId="77777777" w:rsidR="005E6441" w:rsidRPr="005E6441" w:rsidRDefault="005E6441" w:rsidP="005E6441">
      <w:pPr>
        <w:numPr>
          <w:ilvl w:val="0"/>
          <w:numId w:val="15"/>
        </w:numPr>
      </w:pPr>
      <w:r w:rsidRPr="005E6441">
        <w:rPr>
          <w:b/>
          <w:bCs/>
        </w:rPr>
        <w:t>Operational Runbook</w:t>
      </w:r>
      <w:r w:rsidRPr="005E6441">
        <w:t xml:space="preserve"> — Playbooks for </w:t>
      </w:r>
      <w:proofErr w:type="gramStart"/>
      <w:r w:rsidRPr="005E6441">
        <w:t>deploy,</w:t>
      </w:r>
      <w:proofErr w:type="gramEnd"/>
      <w:r w:rsidRPr="005E6441">
        <w:t xml:space="preserve"> rollback, incident response, and common tasks.</w:t>
      </w:r>
    </w:p>
    <w:p w14:paraId="262671C8" w14:textId="77777777" w:rsidR="005E6441" w:rsidRPr="005E6441" w:rsidRDefault="005E6441" w:rsidP="005E6441">
      <w:pPr>
        <w:numPr>
          <w:ilvl w:val="0"/>
          <w:numId w:val="15"/>
        </w:numPr>
      </w:pPr>
      <w:r w:rsidRPr="005E6441">
        <w:rPr>
          <w:b/>
          <w:bCs/>
        </w:rPr>
        <w:t>Allow-List Change Procedure</w:t>
      </w:r>
      <w:r w:rsidRPr="005E6441">
        <w:t xml:space="preserve"> — Controlled update process for CORS origins and API clients.</w:t>
      </w:r>
    </w:p>
    <w:p w14:paraId="2BE7BAEF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I. UX Patterns &amp; Components (</w:t>
      </w:r>
      <w:proofErr w:type="spellStart"/>
      <w:r w:rsidRPr="005E6441">
        <w:rPr>
          <w:b/>
          <w:bCs/>
        </w:rPr>
        <w:t>KendoReact</w:t>
      </w:r>
      <w:proofErr w:type="spellEnd"/>
      <w:r w:rsidRPr="005E6441">
        <w:rPr>
          <w:b/>
          <w:bCs/>
        </w:rPr>
        <w:t xml:space="preserve"> Fluent 2)</w:t>
      </w:r>
    </w:p>
    <w:p w14:paraId="73FB1BEB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t>Grid</w:t>
      </w:r>
      <w:r w:rsidRPr="005E6441">
        <w:t xml:space="preserve"> — Tabular data with sorting/filtering/paging; tied to server queries.</w:t>
      </w:r>
    </w:p>
    <w:p w14:paraId="036AEFF3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lastRenderedPageBreak/>
        <w:t>Drawer / Sidebar</w:t>
      </w:r>
      <w:r w:rsidRPr="005E6441">
        <w:t xml:space="preserve"> — Primary navigation.</w:t>
      </w:r>
    </w:p>
    <w:p w14:paraId="3883EE35" w14:textId="77777777" w:rsidR="005E6441" w:rsidRPr="005E6441" w:rsidRDefault="005E6441" w:rsidP="005E6441">
      <w:pPr>
        <w:numPr>
          <w:ilvl w:val="0"/>
          <w:numId w:val="16"/>
        </w:numPr>
      </w:pPr>
      <w:proofErr w:type="spellStart"/>
      <w:r w:rsidRPr="005E6441">
        <w:rPr>
          <w:b/>
          <w:bCs/>
        </w:rPr>
        <w:t>AppBar</w:t>
      </w:r>
      <w:proofErr w:type="spellEnd"/>
      <w:r w:rsidRPr="005E6441">
        <w:rPr>
          <w:b/>
          <w:bCs/>
        </w:rPr>
        <w:t xml:space="preserve"> / Toolbar</w:t>
      </w:r>
      <w:r w:rsidRPr="005E6441">
        <w:t xml:space="preserve"> — Context actions, user menu, environment indicator.</w:t>
      </w:r>
    </w:p>
    <w:p w14:paraId="3856322F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t>Form &amp; Inputs</w:t>
      </w:r>
      <w:r w:rsidRPr="005E6441">
        <w:t xml:space="preserve"> — Validated forms with async submit and error summaries.</w:t>
      </w:r>
    </w:p>
    <w:p w14:paraId="5DD00120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t>Dialog / Modal</w:t>
      </w:r>
      <w:r w:rsidRPr="005E6441">
        <w:t xml:space="preserve"> — Confirmations, edit forms, error details.</w:t>
      </w:r>
    </w:p>
    <w:p w14:paraId="0FC8107B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t>Charts</w:t>
      </w:r>
      <w:r w:rsidRPr="005E6441">
        <w:t xml:space="preserve"> — Health/perf visualizations (latency percentiles, error rate).</w:t>
      </w:r>
    </w:p>
    <w:p w14:paraId="092CE8B9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t>Notifications/Toasts</w:t>
      </w:r>
      <w:r w:rsidRPr="005E6441">
        <w:t xml:space="preserve"> — Non-blocking status messages.</w:t>
      </w:r>
    </w:p>
    <w:p w14:paraId="1AE8B0DD" w14:textId="77777777" w:rsidR="005E6441" w:rsidRPr="005E6441" w:rsidRDefault="005E6441" w:rsidP="005E6441">
      <w:pPr>
        <w:numPr>
          <w:ilvl w:val="0"/>
          <w:numId w:val="16"/>
        </w:numPr>
      </w:pPr>
      <w:r w:rsidRPr="005E6441">
        <w:rPr>
          <w:b/>
          <w:bCs/>
        </w:rPr>
        <w:t>Skeletons/Placeholders</w:t>
      </w:r>
      <w:r w:rsidRPr="005E6441">
        <w:t xml:space="preserve"> — Loading states while fetching data.</w:t>
      </w:r>
    </w:p>
    <w:p w14:paraId="6BD5D5D7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J. Jobs &amp; Streaming</w:t>
      </w:r>
    </w:p>
    <w:p w14:paraId="057984DB" w14:textId="77777777" w:rsidR="005E6441" w:rsidRPr="005E6441" w:rsidRDefault="005E6441" w:rsidP="005E6441">
      <w:pPr>
        <w:numPr>
          <w:ilvl w:val="0"/>
          <w:numId w:val="17"/>
        </w:numPr>
      </w:pPr>
      <w:r w:rsidRPr="005E6441">
        <w:rPr>
          <w:b/>
          <w:bCs/>
        </w:rPr>
        <w:t>Job</w:t>
      </w:r>
      <w:r w:rsidRPr="005E6441">
        <w:t xml:space="preserve"> — Long-running server action that emits progress events over SSE.</w:t>
      </w:r>
    </w:p>
    <w:p w14:paraId="21EA80D4" w14:textId="77777777" w:rsidR="005E6441" w:rsidRPr="005E6441" w:rsidRDefault="005E6441" w:rsidP="005E6441">
      <w:pPr>
        <w:numPr>
          <w:ilvl w:val="0"/>
          <w:numId w:val="17"/>
        </w:numPr>
      </w:pPr>
      <w:r w:rsidRPr="005E6441">
        <w:rPr>
          <w:b/>
          <w:bCs/>
        </w:rPr>
        <w:t>Job Lifecycle</w:t>
      </w:r>
      <w:r w:rsidRPr="005E6441">
        <w:t xml:space="preserve"> — queued → started → zero-or-more progress → </w:t>
      </w:r>
      <w:proofErr w:type="spellStart"/>
      <w:r w:rsidRPr="005E6441">
        <w:t>completed|failed</w:t>
      </w:r>
      <w:proofErr w:type="spellEnd"/>
      <w:r w:rsidRPr="005E6441">
        <w:t>.</w:t>
      </w:r>
    </w:p>
    <w:p w14:paraId="3C5D127E" w14:textId="77777777" w:rsidR="005E6441" w:rsidRPr="005E6441" w:rsidRDefault="005E6441" w:rsidP="005E6441">
      <w:pPr>
        <w:numPr>
          <w:ilvl w:val="0"/>
          <w:numId w:val="17"/>
        </w:numPr>
      </w:pPr>
      <w:r w:rsidRPr="005E6441">
        <w:rPr>
          <w:b/>
          <w:bCs/>
        </w:rPr>
        <w:t>Heartbeat Interval</w:t>
      </w:r>
      <w:r w:rsidRPr="005E6441">
        <w:t xml:space="preserve"> — Minimum cadence for liveness updates when no progress events occur.</w:t>
      </w:r>
    </w:p>
    <w:p w14:paraId="599B3E91" w14:textId="77777777" w:rsidR="005E6441" w:rsidRPr="005E6441" w:rsidRDefault="005E6441" w:rsidP="005E6441">
      <w:pPr>
        <w:numPr>
          <w:ilvl w:val="0"/>
          <w:numId w:val="17"/>
        </w:numPr>
      </w:pPr>
      <w:r w:rsidRPr="005E6441">
        <w:rPr>
          <w:b/>
          <w:bCs/>
        </w:rPr>
        <w:t>Job ID / Correlation ID</w:t>
      </w:r>
      <w:r w:rsidRPr="005E6441">
        <w:t xml:space="preserve"> — Identifiers used to attach logs and metrics to a job instance.</w:t>
      </w:r>
    </w:p>
    <w:p w14:paraId="33BC35DD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K. Compliance &amp; Risk</w:t>
      </w:r>
    </w:p>
    <w:p w14:paraId="566B3C6C" w14:textId="77777777" w:rsidR="005E6441" w:rsidRPr="005E6441" w:rsidRDefault="005E6441" w:rsidP="005E6441">
      <w:pPr>
        <w:numPr>
          <w:ilvl w:val="0"/>
          <w:numId w:val="18"/>
        </w:numPr>
      </w:pPr>
      <w:r w:rsidRPr="005E6441">
        <w:rPr>
          <w:b/>
          <w:bCs/>
        </w:rPr>
        <w:t>HIPAA / PHI</w:t>
      </w:r>
      <w:r w:rsidRPr="005E6441">
        <w:t xml:space="preserve"> — Health data protections; ensure access control, audit, and minimum necessary principles when applicable.</w:t>
      </w:r>
    </w:p>
    <w:p w14:paraId="6AF9CC9B" w14:textId="77777777" w:rsidR="005E6441" w:rsidRPr="005E6441" w:rsidRDefault="005E6441" w:rsidP="005E6441">
      <w:pPr>
        <w:numPr>
          <w:ilvl w:val="0"/>
          <w:numId w:val="18"/>
        </w:numPr>
      </w:pPr>
      <w:r w:rsidRPr="005E6441">
        <w:rPr>
          <w:b/>
          <w:bCs/>
        </w:rPr>
        <w:t>PCI / FFIEC / ASVS</w:t>
      </w:r>
      <w:r w:rsidRPr="005E6441">
        <w:t xml:space="preserve"> — Applicable security and financial controls referenced in risk assessments.</w:t>
      </w:r>
    </w:p>
    <w:p w14:paraId="0C2B3A31" w14:textId="77777777" w:rsidR="005E6441" w:rsidRPr="005E6441" w:rsidRDefault="005E6441" w:rsidP="005E6441">
      <w:pPr>
        <w:numPr>
          <w:ilvl w:val="0"/>
          <w:numId w:val="18"/>
        </w:numPr>
      </w:pPr>
      <w:r w:rsidRPr="005E6441">
        <w:rPr>
          <w:b/>
          <w:bCs/>
        </w:rPr>
        <w:t>Data Classification</w:t>
      </w:r>
      <w:r w:rsidRPr="005E6441">
        <w:t xml:space="preserve"> — Labels defining handling requirements (Public, Internal, Confidential, Regulated).</w:t>
      </w:r>
    </w:p>
    <w:p w14:paraId="71642238" w14:textId="77777777" w:rsidR="005E6441" w:rsidRPr="005E6441" w:rsidRDefault="005E6441" w:rsidP="005E6441">
      <w:pPr>
        <w:numPr>
          <w:ilvl w:val="0"/>
          <w:numId w:val="18"/>
        </w:numPr>
      </w:pPr>
      <w:r w:rsidRPr="005E6441">
        <w:rPr>
          <w:b/>
          <w:bCs/>
        </w:rPr>
        <w:t>Retention</w:t>
      </w:r>
      <w:r w:rsidRPr="005E6441">
        <w:t xml:space="preserve"> — Evidence and logs retained per policy (e.g., Evidence Pack ≥ 1 year).</w:t>
      </w:r>
    </w:p>
    <w:p w14:paraId="2981B5EE" w14:textId="77777777" w:rsidR="005E6441" w:rsidRPr="005E6441" w:rsidRDefault="005E6441" w:rsidP="005E6441">
      <w:pPr>
        <w:rPr>
          <w:b/>
          <w:bCs/>
        </w:rPr>
      </w:pPr>
      <w:r w:rsidRPr="005E6441">
        <w:rPr>
          <w:b/>
          <w:bCs/>
        </w:rPr>
        <w:t>L. Frequently Used Abbreviations</w:t>
      </w:r>
    </w:p>
    <w:p w14:paraId="702D4167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AAD</w:t>
      </w:r>
      <w:r w:rsidRPr="005E6441">
        <w:t xml:space="preserve"> — Azure Active Directory (Entra ID)</w:t>
      </w:r>
    </w:p>
    <w:p w14:paraId="1332F35F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ADR</w:t>
      </w:r>
      <w:r w:rsidRPr="005E6441">
        <w:t xml:space="preserve"> — Architecture Decision Record</w:t>
      </w:r>
    </w:p>
    <w:p w14:paraId="24AF4D2B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API</w:t>
      </w:r>
      <w:r w:rsidRPr="005E6441">
        <w:t xml:space="preserve"> — Application Programming Interface</w:t>
      </w:r>
    </w:p>
    <w:p w14:paraId="7430334C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CI/CD</w:t>
      </w:r>
      <w:r w:rsidRPr="005E6441">
        <w:t xml:space="preserve"> — Continuous Integration / Continuous Delivery</w:t>
      </w:r>
    </w:p>
    <w:p w14:paraId="782CF227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lastRenderedPageBreak/>
        <w:t>CORS</w:t>
      </w:r>
      <w:r w:rsidRPr="005E6441">
        <w:t xml:space="preserve"> — Cross-Origin Resource Sharing</w:t>
      </w:r>
    </w:p>
    <w:p w14:paraId="6F52B2A2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DAL</w:t>
      </w:r>
      <w:r w:rsidRPr="005E6441">
        <w:t xml:space="preserve"> — Data Access Layer</w:t>
      </w:r>
    </w:p>
    <w:p w14:paraId="529BE36B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DoD/</w:t>
      </w:r>
      <w:proofErr w:type="spellStart"/>
      <w:r w:rsidRPr="005E6441">
        <w:rPr>
          <w:b/>
          <w:bCs/>
        </w:rPr>
        <w:t>DoR</w:t>
      </w:r>
      <w:proofErr w:type="spellEnd"/>
      <w:r w:rsidRPr="005E6441">
        <w:t xml:space="preserve"> — Definition of Done / Definition of Ready</w:t>
      </w:r>
    </w:p>
    <w:p w14:paraId="41704F5F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FR/NFR</w:t>
      </w:r>
      <w:r w:rsidRPr="005E6441">
        <w:t xml:space="preserve"> — Functional / Non-Functional Requirements</w:t>
      </w:r>
    </w:p>
    <w:p w14:paraId="0CA1BEA4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JWT</w:t>
      </w:r>
      <w:r w:rsidRPr="005E6441">
        <w:t xml:space="preserve"> — JSON Web Token</w:t>
      </w:r>
    </w:p>
    <w:p w14:paraId="341B45DD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MSAL</w:t>
      </w:r>
      <w:r w:rsidRPr="005E6441">
        <w:t xml:space="preserve"> — Microsoft Authentication Library</w:t>
      </w:r>
    </w:p>
    <w:p w14:paraId="1553F02D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RBAC</w:t>
      </w:r>
      <w:r w:rsidRPr="005E6441">
        <w:t xml:space="preserve"> — Role-Based Access Control</w:t>
      </w:r>
    </w:p>
    <w:p w14:paraId="5031AD5D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RTM</w:t>
      </w:r>
      <w:r w:rsidRPr="005E6441">
        <w:t xml:space="preserve"> — Release-to-Manufacturing</w:t>
      </w:r>
    </w:p>
    <w:p w14:paraId="1CD49969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SBOM</w:t>
      </w:r>
      <w:r w:rsidRPr="005E6441">
        <w:t xml:space="preserve"> — Software Bill of Materials</w:t>
      </w:r>
    </w:p>
    <w:p w14:paraId="230E15B5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SLA/SLI/SLO</w:t>
      </w:r>
      <w:r w:rsidRPr="005E6441">
        <w:t xml:space="preserve"> — Service Level Agreement/Indicator/Objective</w:t>
      </w:r>
    </w:p>
    <w:p w14:paraId="6E637BF2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SSE</w:t>
      </w:r>
      <w:r w:rsidRPr="005E6441">
        <w:t xml:space="preserve"> — Server-Sent Events</w:t>
      </w:r>
    </w:p>
    <w:p w14:paraId="7996DFC8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TTFB</w:t>
      </w:r>
      <w:r w:rsidRPr="005E6441">
        <w:t xml:space="preserve"> — Time to First Byte</w:t>
      </w:r>
    </w:p>
    <w:p w14:paraId="2C13F903" w14:textId="77777777" w:rsidR="005E6441" w:rsidRPr="005E6441" w:rsidRDefault="005E6441" w:rsidP="005E6441">
      <w:pPr>
        <w:numPr>
          <w:ilvl w:val="0"/>
          <w:numId w:val="19"/>
        </w:numPr>
      </w:pPr>
      <w:r w:rsidRPr="005E6441">
        <w:rPr>
          <w:b/>
          <w:bCs/>
        </w:rPr>
        <w:t>WCAG</w:t>
      </w:r>
      <w:r w:rsidRPr="005E6441">
        <w:t xml:space="preserve"> — Web Content Accessibility Guidelines</w:t>
      </w:r>
    </w:p>
    <w:p w14:paraId="1544BD96" w14:textId="77777777" w:rsidR="005E6441" w:rsidRPr="005E6441" w:rsidRDefault="005E6441" w:rsidP="005E6441">
      <w:r w:rsidRPr="005E6441">
        <w:pict w14:anchorId="5ACA815A">
          <v:rect id="_x0000_i1057" style="width:0;height:1.5pt" o:hralign="center" o:hrstd="t" o:hr="t" fillcolor="#a0a0a0" stroked="f"/>
        </w:pict>
      </w:r>
    </w:p>
    <w:p w14:paraId="0929E0A3" w14:textId="77777777" w:rsidR="005E6441" w:rsidRPr="005E6441" w:rsidRDefault="005E6441" w:rsidP="005E6441">
      <w:r w:rsidRPr="005E6441">
        <w:rPr>
          <w:b/>
          <w:bCs/>
        </w:rPr>
        <w:t>Notes</w:t>
      </w:r>
    </w:p>
    <w:p w14:paraId="269B8916" w14:textId="77777777" w:rsidR="005E6441" w:rsidRPr="005E6441" w:rsidRDefault="005E6441" w:rsidP="005E6441">
      <w:pPr>
        <w:numPr>
          <w:ilvl w:val="0"/>
          <w:numId w:val="20"/>
        </w:numPr>
      </w:pPr>
      <w:r w:rsidRPr="005E6441">
        <w:t xml:space="preserve">Where this glossary conflicts with vendor documentation, the </w:t>
      </w:r>
      <w:r w:rsidRPr="005E6441">
        <w:rPr>
          <w:b/>
          <w:bCs/>
        </w:rPr>
        <w:t>Technijian SDLC</w:t>
      </w:r>
      <w:r w:rsidRPr="005E6441">
        <w:t xml:space="preserve"> and our ADRs are authoritative.</w:t>
      </w:r>
    </w:p>
    <w:p w14:paraId="37E6C97D" w14:textId="77777777" w:rsidR="005E6441" w:rsidRPr="005E6441" w:rsidRDefault="005E6441" w:rsidP="005E6441">
      <w:pPr>
        <w:numPr>
          <w:ilvl w:val="0"/>
          <w:numId w:val="20"/>
        </w:numPr>
      </w:pPr>
      <w:r w:rsidRPr="005E6441">
        <w:t xml:space="preserve">Terms marked as procedures (e.g., “Allow-List Change Procedure”) must be reflected in the </w:t>
      </w:r>
      <w:r w:rsidRPr="005E6441">
        <w:rPr>
          <w:b/>
          <w:bCs/>
        </w:rPr>
        <w:t>Operations Runbook</w:t>
      </w:r>
      <w:r w:rsidRPr="005E6441">
        <w:t xml:space="preserve"> and referenced in the Evidence Pack for each release.</w:t>
      </w:r>
    </w:p>
    <w:p w14:paraId="454B9DF4" w14:textId="77777777" w:rsidR="00F02ACD" w:rsidRPr="006A008F" w:rsidRDefault="00F02ACD" w:rsidP="006A008F"/>
    <w:sectPr w:rsidR="00F02ACD" w:rsidRPr="006A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D84"/>
    <w:multiLevelType w:val="multilevel"/>
    <w:tmpl w:val="162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DC5"/>
    <w:multiLevelType w:val="multilevel"/>
    <w:tmpl w:val="14A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3354"/>
    <w:multiLevelType w:val="multilevel"/>
    <w:tmpl w:val="D6B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40CCA"/>
    <w:multiLevelType w:val="multilevel"/>
    <w:tmpl w:val="C66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D6087"/>
    <w:multiLevelType w:val="multilevel"/>
    <w:tmpl w:val="C24A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C1E64"/>
    <w:multiLevelType w:val="multilevel"/>
    <w:tmpl w:val="420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8348E"/>
    <w:multiLevelType w:val="multilevel"/>
    <w:tmpl w:val="E89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421F5"/>
    <w:multiLevelType w:val="multilevel"/>
    <w:tmpl w:val="F54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00E42"/>
    <w:multiLevelType w:val="multilevel"/>
    <w:tmpl w:val="75E4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D0E7D"/>
    <w:multiLevelType w:val="multilevel"/>
    <w:tmpl w:val="0E8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70AFD"/>
    <w:multiLevelType w:val="multilevel"/>
    <w:tmpl w:val="59C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070D3"/>
    <w:multiLevelType w:val="multilevel"/>
    <w:tmpl w:val="609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D0C4D"/>
    <w:multiLevelType w:val="multilevel"/>
    <w:tmpl w:val="4DE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25064"/>
    <w:multiLevelType w:val="multilevel"/>
    <w:tmpl w:val="C25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51F4A"/>
    <w:multiLevelType w:val="multilevel"/>
    <w:tmpl w:val="482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40145"/>
    <w:multiLevelType w:val="multilevel"/>
    <w:tmpl w:val="C0D6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F2258"/>
    <w:multiLevelType w:val="multilevel"/>
    <w:tmpl w:val="710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82AA6"/>
    <w:multiLevelType w:val="multilevel"/>
    <w:tmpl w:val="D11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B6858"/>
    <w:multiLevelType w:val="multilevel"/>
    <w:tmpl w:val="7426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82CD2"/>
    <w:multiLevelType w:val="multilevel"/>
    <w:tmpl w:val="64C0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79856">
    <w:abstractNumId w:val="4"/>
  </w:num>
  <w:num w:numId="2" w16cid:durableId="539588209">
    <w:abstractNumId w:val="14"/>
  </w:num>
  <w:num w:numId="3" w16cid:durableId="114565059">
    <w:abstractNumId w:val="18"/>
  </w:num>
  <w:num w:numId="4" w16cid:durableId="640039369">
    <w:abstractNumId w:val="8"/>
  </w:num>
  <w:num w:numId="5" w16cid:durableId="474101725">
    <w:abstractNumId w:val="5"/>
  </w:num>
  <w:num w:numId="6" w16cid:durableId="736828722">
    <w:abstractNumId w:val="15"/>
  </w:num>
  <w:num w:numId="7" w16cid:durableId="1868525367">
    <w:abstractNumId w:val="9"/>
  </w:num>
  <w:num w:numId="8" w16cid:durableId="399593478">
    <w:abstractNumId w:val="13"/>
  </w:num>
  <w:num w:numId="9" w16cid:durableId="145904670">
    <w:abstractNumId w:val="7"/>
  </w:num>
  <w:num w:numId="10" w16cid:durableId="148523851">
    <w:abstractNumId w:val="11"/>
  </w:num>
  <w:num w:numId="11" w16cid:durableId="434330667">
    <w:abstractNumId w:val="12"/>
  </w:num>
  <w:num w:numId="12" w16cid:durableId="709233009">
    <w:abstractNumId w:val="2"/>
  </w:num>
  <w:num w:numId="13" w16cid:durableId="1774402383">
    <w:abstractNumId w:val="19"/>
  </w:num>
  <w:num w:numId="14" w16cid:durableId="333150736">
    <w:abstractNumId w:val="0"/>
  </w:num>
  <w:num w:numId="15" w16cid:durableId="670454433">
    <w:abstractNumId w:val="1"/>
  </w:num>
  <w:num w:numId="16" w16cid:durableId="949118408">
    <w:abstractNumId w:val="6"/>
  </w:num>
  <w:num w:numId="17" w16cid:durableId="1718164528">
    <w:abstractNumId w:val="17"/>
  </w:num>
  <w:num w:numId="18" w16cid:durableId="391273323">
    <w:abstractNumId w:val="3"/>
  </w:num>
  <w:num w:numId="19" w16cid:durableId="1611934887">
    <w:abstractNumId w:val="16"/>
  </w:num>
  <w:num w:numId="20" w16cid:durableId="1192569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6"/>
    <w:rsid w:val="00541B4F"/>
    <w:rsid w:val="005E6441"/>
    <w:rsid w:val="006A008F"/>
    <w:rsid w:val="00843DA4"/>
    <w:rsid w:val="00984FF4"/>
    <w:rsid w:val="00D157AC"/>
    <w:rsid w:val="00F02ACD"/>
    <w:rsid w:val="00F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1179C8A"/>
  <w15:chartTrackingRefBased/>
  <w15:docId w15:val="{BF139DA0-687B-42B1-A8EB-0BC40CB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0CF22-F4C0-4AA3-A6EB-AE84419862CE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D7BAB336-6BA1-4072-A081-E8EB3CE8C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D0EB2-390B-4EDA-BB20-9B296A0F8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2025-09-23T17:37:00Z</dcterms:created>
  <dcterms:modified xsi:type="dcterms:W3CDTF">2025-09-27T20:39:00Z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