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Erwartungshorizont Holz</w:t>
      </w:r>
    </w:p>
    <w:p>
      <w:r>
        <w:rPr>
          <w:b w:val="0"/>
        </w:rPr>
        <w:t>Zur vierseitigen Lernerfolgskontrolle mit 30 Minuten Arbeitszeit und 30 Punkten. Erlaubt ist das gedruckte Material der Mappe. iPad und andere digitale Geräte sind ausgeschlossen.</w:t>
      </w:r>
    </w:p>
    <w:p>
      <w:pPr>
        <w:pStyle w:val="Heading2"/>
      </w:pPr>
      <w:r>
        <w:t>Durchführung und Zeitplanung</w:t>
      </w:r>
    </w:p>
    <w:p>
      <w:r>
        <w:rPr>
          <w:b w:val="0"/>
        </w:rPr>
        <w:t>Die vier Seiten gemeinsam ausgeben. Orientierung: Aufgaben 1 und 2 etwa 7 Minuten, 3 und 4 etwa 8 Minuten, 5 und 6 etwa 7 Minuten, Aufgabe 7 etwa 5 Minuten, abschließende Kontrolle etwa 3 Minuten. Das Nachschlagen ist in diesen Planwerten enthalten; nach dem ersten Einsatz prüfen. Vereinbarte Nachteilsausgleiche beachten.</w:t>
      </w:r>
    </w:p>
    <w:p>
      <w:pPr>
        <w:pStyle w:val="Heading2"/>
      </w:pPr>
      <w:r>
        <w:t>Bewertung</w:t>
      </w:r>
    </w:p>
    <w:p>
      <w:r>
        <w:rPr>
          <w:b w:val="0"/>
        </w:rPr>
        <w:t>Sinngemäße Lückenfüllungen anerkennen. Rechtschreibfehler nicht abziehen, sofern der Fachbegriff eindeutig ist. Jeder Teil wird getrennt bewertet. Ein falsches Kreuz in 4a verhindert nicht den Punkt für eine fachlich passende Begründung in 4b. Kein automatisch abgeleiteter Notenschlüssel.</w:t>
      </w:r>
    </w:p>
    <w:p>
      <w:r>
        <w:rPr>
          <w:b w:val="0"/>
        </w:rPr>
        <w:t>Einfachauswahl: Nur das richtige und kein weiteres Feld angekreuzt ergibt die genannten Punkte. Mehrfachauswahl 2c und 4c: je richtig gesetztem Kreuz 1 Punkt, je falsch gesetztem Kreuz 1 Punkt Abzug innerhalb der Teilaufgabe; mindestens 0, höchstens 2 Punkte. Nicht gesetzte Kreuze geben keine Punkte. Ein vollständig leeres Feld ergibt 0 Punkte. So wird nicht wahlloses Ankreuzen belohnt.</w:t>
      </w:r>
    </w:p>
    <w:p>
      <w:pPr>
        <w:pStyle w:val="Heading2"/>
      </w:pPr>
      <w:r>
        <w:t>Lösungen zu Aufgaben 1 bis 4</w:t>
      </w:r>
    </w:p>
    <w:p>
      <w:pPr>
        <w:pStyle w:val="Heading2"/>
      </w:pPr>
      <w:r>
        <w:t>1 Aufbau des Stamms   4 Punkte</w:t>
      </w:r>
    </w:p>
    <w:p>
      <w:r>
        <w:rPr>
          <w:b w:val="0"/>
        </w:rPr>
        <w:t>1a Kambium; Splintholz: je 1 P. 1b Erste Aussage: Die Wurzeln bekommen zu wenig Zucker aus den Blättern; 2 P bei eindeutiger Auswahl. Die Störung des Zuckertransports wird aus der Funktion des Basts abgeleitet.</w:t>
      </w:r>
    </w:p>
    <w:p>
      <w:pPr>
        <w:pStyle w:val="Heading2"/>
      </w:pPr>
      <w:r>
        <w:t>2 Jahresringe   4 Punkte</w:t>
      </w:r>
    </w:p>
    <w:p>
      <w:r>
        <w:rPr>
          <w:b w:val="0"/>
        </w:rPr>
        <w:t>2a 12 Jahre: 1 P. 2b Erste Aussage (geringerer Dickenzuwachs): 1 P. 2c Erste und dritte Aussage: Wassermangel ist möglich, andere Ursachen kommen ebenfalls infrage; bis 2 P nach Mehrfachregel.</w:t>
      </w:r>
    </w:p>
    <w:p>
      <w:pPr>
        <w:pStyle w:val="Heading2"/>
      </w:pPr>
      <w:r>
        <w:t>3 Produktionsweg und Schnittplan   6 Punkte</w:t>
      </w:r>
    </w:p>
    <w:p>
      <w:r>
        <w:rPr>
          <w:b w:val="0"/>
        </w:rPr>
        <w:t>3a In der gedruckten Reihenfolge: 3, 6, 1, 5, 2, 4. Je korrekt eingetragener Zahl 0,5 P, insgesamt 3 P. 3b Späne / Sägespäne: 1 P. 3c Plan B: 1 P; 14 cm: 1 P. Die höhere Ausbeute von A genügt bei einer Mindestbreite von 12 cm nicht.</w:t>
      </w:r>
    </w:p>
    <w:p>
      <w:pPr>
        <w:pStyle w:val="Heading2"/>
      </w:pPr>
      <w:r>
        <w:t>4 Holzproben   4 Punkte</w:t>
      </w:r>
    </w:p>
    <w:p>
      <w:r>
        <w:rPr>
          <w:b w:val="0"/>
        </w:rPr>
        <w:t>4a Probe Q: 1 P. 4b kaum: 1 P. 4c Erste und dritte Aussage: Größere Masse kann durch größeres Volumen entstehen; gleiche Größe und ähnliche Trockenheit erlauben einen fairen Vergleich; bis 2 P nach Mehrfachregel.</w:t>
      </w:r>
    </w:p>
    <w:p>
      <w:r>
        <w:br w:type="page"/>
      </w:r>
    </w:p>
    <w:p>
      <w:pPr>
        <w:pStyle w:val="Title"/>
      </w:pPr>
      <w:r>
        <w:t>Lösungen und Kompetenzbelege</w:t>
      </w:r>
    </w:p>
    <w:p>
      <w:pPr>
        <w:pStyle w:val="Heading2"/>
      </w:pPr>
      <w:r>
        <w:t>5 Holz arbeitet   4 Punkte</w:t>
      </w:r>
    </w:p>
    <w:p>
      <w:r>
        <w:rPr>
          <w:b w:val="0"/>
        </w:rPr>
        <w:t>5a Wasser; Schwinden: je 1 P. Auch „Feuchtigkeit“ bzw. „schwinden“ sinngemäß akzeptieren. 5b quellen / größer werden; Spiel / Platz / Abstand: je 1 P. Das Quellen kann zum Klemmen führen; die Bewegungsreserve ist eine passende Vorsorge.</w:t>
      </w:r>
    </w:p>
    <w:p>
      <w:pPr>
        <w:pStyle w:val="Heading2"/>
      </w:pPr>
      <w:r>
        <w:t>6 Holzfehler   4 Punkte</w:t>
      </w:r>
    </w:p>
    <w:p>
      <w:r>
        <w:rPr>
          <w:b w:val="0"/>
        </w:rPr>
        <w:t>6a A = 3, B = 1, C = 2: je 1 P. 6b Zweite Aussage: Lage und Nutzung entscheiden; 1 P bei eindeutiger Auswahl. Ein fest verwachsener Ast ist kein pauschaler Ausschussgrund.</w:t>
      </w:r>
    </w:p>
    <w:p>
      <w:pPr>
        <w:pStyle w:val="Heading2"/>
      </w:pPr>
      <w:r>
        <w:t>7 Materialentscheidung   4 Punkte</w:t>
      </w:r>
    </w:p>
    <w:p>
      <w:r>
        <w:rPr>
          <w:b w:val="0"/>
        </w:rPr>
        <w:t>7a Buche: 1 P. Nach Tabelle erfüllen Buche und Eiche Härte und glatte Bearbeitbarkeit; Buche ist von beiden preiswerter. 7b hart; glatt: je 1 P. 7c stark / deutlich: 1 P. Die Lückensätze werden unabhängig von 7a bewertet; kein mehrfacher Abzug eines Auswahlfehlers.</w:t>
      </w:r>
    </w:p>
    <w:p>
      <w:pPr>
        <w:pStyle w:val="Heading2"/>
      </w:pPr>
      <w:r>
        <w:t>Was die kurze Arbeit nachweisen kann</w:t>
      </w:r>
    </w:p>
    <w:p>
      <w:r>
        <w:rPr>
          <w:b w:val="0"/>
        </w:rPr>
        <w:t>Die geschlossene oder stark gestützte Antwortform prüft Verstehen und Anwenden mit wenig Schreibaufwand. Sie belegt keine frei formulierte ausführliche Erklärung. Die früheren 21 Teilaufgaben a bis c und deren Raster gelten für diese Fassung nicht mehr. Eine Gesamtpunktzahl wird deshalb nicht automatisch in einen Kompetenzstandard übersetzt.</w:t>
      </w:r>
    </w:p>
    <w:tbl>
      <w:tblPr>
        <w:tblW w:type="dxa" w:w="9638"/>
        <w:jc w:val="left"/>
        <w:tblLayout w:type="fixed"/>
        <w:tblLook w:firstColumn="1" w:firstRow="1" w:lastColumn="0" w:lastRow="0" w:noHBand="0" w:noVBand="1" w:val="04A0"/>
        <w:tblInd w:type="dxa" w:w="0"/>
      </w:tblPr>
      <w:tblGrid>
        <w:gridCol w:w="2438"/>
        <w:gridCol w:w="7200"/>
      </w:tblGrid>
      <w:tr>
        <w:trPr>
          <w:cantSplit/>
        </w:trPr>
        <w:tc>
          <w:tcPr>
            <w:tcW w:type="dxa" w:w="2438"/>
            <w:vAlign w:val="center"/>
            <w:tcBorders>
              <w:top w:val="single" w:sz="5" w:color="D9D9D9"/>
              <w:left w:val="single" w:sz="5" w:color="D9D9D9"/>
              <w:bottom w:val="single" w:sz="5" w:color="D9D9D9"/>
              <w:right w:val="single" w:sz="5" w:color="D9D9D9"/>
            </w:tcBorders>
            <w:shd w:fill="EEEEEE"/>
            <w:tcMar>
              <w:top w:w="80" w:type="dxa"/>
              <w:bottom w:w="80" w:type="dxa"/>
              <w:start w:w="120" w:type="dxa"/>
              <w:end w:w="120" w:type="dxa"/>
            </w:tcMar>
          </w:tcPr>
          <w:p>
            <w:pPr>
              <w:spacing w:before="60" w:after="60"/>
            </w:pPr>
            <w:r>
              <w:rPr>
                <w:b/>
                <w:sz w:val="21"/>
              </w:rPr>
              <w:t>Anforderung</w:t>
            </w:r>
          </w:p>
        </w:tc>
        <w:tc>
          <w:tcPr>
            <w:tcW w:type="dxa" w:w="7200"/>
            <w:vAlign w:val="center"/>
            <w:tcBorders>
              <w:top w:val="single" w:sz="5" w:color="D9D9D9"/>
              <w:left w:val="single" w:sz="5" w:color="D9D9D9"/>
              <w:bottom w:val="single" w:sz="5" w:color="D9D9D9"/>
              <w:right w:val="single" w:sz="5" w:color="D9D9D9"/>
            </w:tcBorders>
            <w:shd w:fill="EEEEEE"/>
            <w:tcMar>
              <w:top w:w="80" w:type="dxa"/>
              <w:bottom w:w="80" w:type="dxa"/>
              <w:start w:w="120" w:type="dxa"/>
              <w:end w:w="120" w:type="dxa"/>
            </w:tcMar>
          </w:tcPr>
          <w:p>
            <w:pPr>
              <w:spacing w:before="60" w:after="60"/>
            </w:pPr>
            <w:r>
              <w:rPr>
                <w:b/>
                <w:sz w:val="21"/>
              </w:rPr>
              <w:t>Belege in dieser Arbeit</w:t>
            </w:r>
          </w:p>
        </w:tc>
      </w:tr>
      <w:tr>
        <w:trPr>
          <w:cantSplit/>
        </w:trPr>
        <w:tc>
          <w:tcPr>
            <w:tcW w:type="dxa" w:w="2438"/>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Mindeststandard</w:t>
            </w:r>
          </w:p>
        </w:tc>
        <w:tc>
          <w:tcPr>
            <w:tcW w:type="dxa" w:w="7200"/>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Funktionen ergänzen (1a), Ringe zählen (2a), Schritte ordnen (3a), Begriffe und Bilder zuordnen (6a)</w:t>
            </w:r>
          </w:p>
        </w:tc>
      </w:tr>
      <w:tr>
        <w:trPr>
          <w:cantSplit/>
        </w:trPr>
        <w:tc>
          <w:tcPr>
            <w:tcW w:type="dxa" w:w="2438"/>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Regelstandard</w:t>
            </w:r>
          </w:p>
        </w:tc>
        <w:tc>
          <w:tcPr>
            <w:tcW w:type="dxa" w:w="7200"/>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Ringbreite deuten (2b), Schnittbreite erklären (3b), Härte aus Druckspur ableiten (4a/b), Trocknungsdaten erklären (5a), Eigenschaften mit Auftrag verbinden (7b/c)</w:t>
            </w:r>
          </w:p>
        </w:tc>
      </w:tr>
      <w:tr>
        <w:trPr>
          <w:cantSplit/>
        </w:trPr>
        <w:tc>
          <w:tcPr>
            <w:tcW w:type="dxa" w:w="2438"/>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Expertenstandard</w:t>
            </w:r>
          </w:p>
        </w:tc>
        <w:tc>
          <w:tcPr>
            <w:tcW w:type="dxa" w:w="7200"/>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Folge einer Bastschädigung ableiten (1b), Grenze einer Aussage prüfen (2c), Mindestbreite gegen Ausbeute abwägen (3c), Vergleichsbedingungen prüfen (4c), Vorsorge übertragen (5b), Verwendbarkeit beurteilen (6b), mehrere Anforderungen abwägen (7a)</w:t>
            </w:r>
          </w:p>
        </w:tc>
      </w:tr>
    </w:tbl>
    <w:p>
      <w:r>
        <w:rPr>
          <w:b w:val="0"/>
        </w:rPr>
        <w:t>Die Expertenbelege sind hier kurze, gestützte Entscheidungen. Für Aussagen über selbstständiges Argumentieren zusätzlich die Mappe oder ein Gespräch heranziehen.</w:t>
      </w:r>
    </w:p>
    <w:p>
      <w:r>
        <w:br w:type="page"/>
      </w:r>
    </w:p>
    <w:p>
      <w:pPr>
        <w:pStyle w:val="Title"/>
      </w:pPr>
      <w:r>
        <w:t>Individuelle Rückmeldung</w:t>
      </w:r>
    </w:p>
    <w:p>
      <w:r>
        <w:rPr>
          <w:b w:val="0"/>
        </w:rPr>
        <w:t>Name: ____________________________  Datum: ______________</w:t>
      </w:r>
    </w:p>
    <w:p>
      <w:r>
        <w:rPr>
          <w:b w:val="0"/>
        </w:rPr>
        <w:t>Punkte: ______ / 30</w:t>
      </w:r>
    </w:p>
    <w:tbl>
      <w:tblPr>
        <w:tblW w:type="dxa" w:w="9638"/>
        <w:jc w:val="left"/>
        <w:tblLayout w:type="fixed"/>
        <w:tblLook w:firstColumn="1" w:firstRow="1" w:lastColumn="0" w:lastRow="0" w:noHBand="0" w:noVBand="1" w:val="04A0"/>
        <w:tblInd w:type="dxa" w:w="0"/>
      </w:tblPr>
      <w:tblGrid>
        <w:gridCol w:w="4252"/>
        <w:gridCol w:w="1417"/>
        <w:gridCol w:w="3969"/>
      </w:tblGrid>
      <w:tr>
        <w:trPr>
          <w:cantSplit/>
        </w:trPr>
        <w:tc>
          <w:tcPr>
            <w:tcW w:type="dxa" w:w="4252"/>
            <w:vAlign w:val="center"/>
            <w:tcBorders>
              <w:top w:val="single" w:sz="5" w:color="D9D9D9"/>
              <w:left w:val="single" w:sz="5" w:color="D9D9D9"/>
              <w:bottom w:val="single" w:sz="5" w:color="D9D9D9"/>
              <w:right w:val="single" w:sz="5" w:color="D9D9D9"/>
            </w:tcBorders>
            <w:shd w:fill="EEEEEE"/>
            <w:tcMar>
              <w:top w:w="80" w:type="dxa"/>
              <w:bottom w:w="80" w:type="dxa"/>
              <w:start w:w="120" w:type="dxa"/>
              <w:end w:w="120" w:type="dxa"/>
            </w:tcMar>
          </w:tcPr>
          <w:p>
            <w:pPr>
              <w:spacing w:before="60" w:after="60"/>
            </w:pPr>
            <w:r>
              <w:rPr>
                <w:b/>
                <w:sz w:val="21"/>
              </w:rPr>
              <w:t>Bereich</w:t>
            </w:r>
          </w:p>
        </w:tc>
        <w:tc>
          <w:tcPr>
            <w:tcW w:type="dxa" w:w="1417"/>
            <w:vAlign w:val="center"/>
            <w:tcBorders>
              <w:top w:val="single" w:sz="5" w:color="D9D9D9"/>
              <w:left w:val="single" w:sz="5" w:color="D9D9D9"/>
              <w:bottom w:val="single" w:sz="5" w:color="D9D9D9"/>
              <w:right w:val="single" w:sz="5" w:color="D9D9D9"/>
            </w:tcBorders>
            <w:shd w:fill="EEEEEE"/>
            <w:tcMar>
              <w:top w:w="80" w:type="dxa"/>
              <w:bottom w:w="80" w:type="dxa"/>
              <w:start w:w="120" w:type="dxa"/>
              <w:end w:w="120" w:type="dxa"/>
            </w:tcMar>
          </w:tcPr>
          <w:p>
            <w:pPr>
              <w:spacing w:before="60" w:after="60"/>
            </w:pPr>
            <w:r>
              <w:rPr>
                <w:b/>
                <w:sz w:val="21"/>
              </w:rPr>
              <w:t>Punkte</w:t>
            </w:r>
          </w:p>
        </w:tc>
        <w:tc>
          <w:tcPr>
            <w:tcW w:type="dxa" w:w="3969"/>
            <w:vAlign w:val="center"/>
            <w:tcBorders>
              <w:top w:val="single" w:sz="5" w:color="D9D9D9"/>
              <w:left w:val="single" w:sz="5" w:color="D9D9D9"/>
              <w:bottom w:val="single" w:sz="5" w:color="D9D9D9"/>
              <w:right w:val="single" w:sz="5" w:color="D9D9D9"/>
            </w:tcBorders>
            <w:shd w:fill="EEEEEE"/>
            <w:tcMar>
              <w:top w:w="80" w:type="dxa"/>
              <w:bottom w:w="80" w:type="dxa"/>
              <w:start w:w="120" w:type="dxa"/>
              <w:end w:w="120" w:type="dxa"/>
            </w:tcMar>
          </w:tcPr>
          <w:p>
            <w:pPr>
              <w:spacing w:before="60" w:after="60"/>
            </w:pPr>
            <w:r>
              <w:rPr>
                <w:b/>
                <w:sz w:val="21"/>
              </w:rPr>
              <w:t>Dein nächster Übungsauftrag</w:t>
            </w:r>
          </w:p>
        </w:tc>
      </w:tr>
      <w:tr>
        <w:trPr>
          <w:cantSplit/>
        </w:trPr>
        <w:tc>
          <w:tcPr>
            <w:tcW w:type="dxa" w:w="4252"/>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Stamm</w:t>
            </w:r>
          </w:p>
        </w:tc>
        <w:tc>
          <w:tcPr>
            <w:tcW w:type="dxa" w:w="1417"/>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____ / 4</w:t>
            </w:r>
          </w:p>
        </w:tc>
        <w:tc>
          <w:tcPr>
            <w:tcW w:type="dxa" w:w="3969"/>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A1</w:t>
            </w:r>
          </w:p>
        </w:tc>
      </w:tr>
      <w:tr>
        <w:trPr>
          <w:cantSplit/>
        </w:trPr>
        <w:tc>
          <w:tcPr>
            <w:tcW w:type="dxa" w:w="4252"/>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Jahresringe</w:t>
            </w:r>
          </w:p>
        </w:tc>
        <w:tc>
          <w:tcPr>
            <w:tcW w:type="dxa" w:w="1417"/>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____ / 4</w:t>
            </w:r>
          </w:p>
        </w:tc>
        <w:tc>
          <w:tcPr>
            <w:tcW w:type="dxa" w:w="3969"/>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A2</w:t>
            </w:r>
          </w:p>
        </w:tc>
      </w:tr>
      <w:tr>
        <w:trPr>
          <w:cantSplit/>
        </w:trPr>
        <w:tc>
          <w:tcPr>
            <w:tcW w:type="dxa" w:w="4252"/>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Produktionsweg und Schnittplan</w:t>
            </w:r>
          </w:p>
        </w:tc>
        <w:tc>
          <w:tcPr>
            <w:tcW w:type="dxa" w:w="1417"/>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____ / 6</w:t>
            </w:r>
          </w:p>
        </w:tc>
        <w:tc>
          <w:tcPr>
            <w:tcW w:type="dxa" w:w="3969"/>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A3 und A4</w:t>
            </w:r>
          </w:p>
        </w:tc>
      </w:tr>
      <w:tr>
        <w:trPr>
          <w:cantSplit/>
        </w:trPr>
        <w:tc>
          <w:tcPr>
            <w:tcW w:type="dxa" w:w="4252"/>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Holzproben</w:t>
            </w:r>
          </w:p>
        </w:tc>
        <w:tc>
          <w:tcPr>
            <w:tcW w:type="dxa" w:w="1417"/>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____ / 4</w:t>
            </w:r>
          </w:p>
        </w:tc>
        <w:tc>
          <w:tcPr>
            <w:tcW w:type="dxa" w:w="3969"/>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A5 und A6</w:t>
            </w:r>
          </w:p>
        </w:tc>
      </w:tr>
      <w:tr>
        <w:trPr>
          <w:cantSplit/>
        </w:trPr>
        <w:tc>
          <w:tcPr>
            <w:tcW w:type="dxa" w:w="4252"/>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Holzfeuchte</w:t>
            </w:r>
          </w:p>
        </w:tc>
        <w:tc>
          <w:tcPr>
            <w:tcW w:type="dxa" w:w="1417"/>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____ / 4</w:t>
            </w:r>
          </w:p>
        </w:tc>
        <w:tc>
          <w:tcPr>
            <w:tcW w:type="dxa" w:w="3969"/>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A7</w:t>
            </w:r>
          </w:p>
        </w:tc>
      </w:tr>
      <w:tr>
        <w:trPr>
          <w:cantSplit/>
        </w:trPr>
        <w:tc>
          <w:tcPr>
            <w:tcW w:type="dxa" w:w="4252"/>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Holzfehler</w:t>
            </w:r>
          </w:p>
        </w:tc>
        <w:tc>
          <w:tcPr>
            <w:tcW w:type="dxa" w:w="1417"/>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____ / 4</w:t>
            </w:r>
          </w:p>
        </w:tc>
        <w:tc>
          <w:tcPr>
            <w:tcW w:type="dxa" w:w="3969"/>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A8</w:t>
            </w:r>
          </w:p>
        </w:tc>
      </w:tr>
      <w:tr>
        <w:trPr>
          <w:cantSplit/>
        </w:trPr>
        <w:tc>
          <w:tcPr>
            <w:tcW w:type="dxa" w:w="4252"/>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Materialentscheidung</w:t>
            </w:r>
          </w:p>
        </w:tc>
        <w:tc>
          <w:tcPr>
            <w:tcW w:type="dxa" w:w="1417"/>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____ / 4</w:t>
            </w:r>
          </w:p>
        </w:tc>
        <w:tc>
          <w:tcPr>
            <w:tcW w:type="dxa" w:w="3969"/>
            <w:vAlign w:val="center"/>
            <w:tcBorders>
              <w:top w:val="single" w:sz="5" w:color="D9D9D9"/>
              <w:left w:val="single" w:sz="5" w:color="D9D9D9"/>
              <w:bottom w:val="single" w:sz="5" w:color="D9D9D9"/>
              <w:right w:val="single" w:sz="5" w:color="D9D9D9"/>
            </w:tcBorders>
            <w:tcMar>
              <w:top w:w="80" w:type="dxa"/>
              <w:bottom w:w="80" w:type="dxa"/>
              <w:start w:w="120" w:type="dxa"/>
              <w:end w:w="120" w:type="dxa"/>
            </w:tcMar>
          </w:tcPr>
          <w:p>
            <w:pPr>
              <w:spacing w:before="60" w:after="60"/>
            </w:pPr>
            <w:r>
              <w:rPr>
                <w:b w:val="0"/>
                <w:sz w:val="21"/>
              </w:rPr>
              <w:t>A9 und A10</w:t>
            </w:r>
          </w:p>
        </w:tc>
      </w:tr>
    </w:tbl>
    <w:p>
      <w:pPr>
        <w:pStyle w:val="Heading2"/>
      </w:pPr>
      <w:r>
        <w:t>Das gelingt dir schon</w:t>
      </w:r>
    </w:p>
    <w:p>
      <w:r>
        <w:rPr>
          <w:b w:val="0"/>
        </w:rPr>
        <w:t>________________________________________________________________</w:t>
        <w:br/>
        <w:t>________________________________________________________________</w:t>
      </w:r>
    </w:p>
    <w:p>
      <w:pPr>
        <w:pStyle w:val="Heading2"/>
      </w:pPr>
      <w:r>
        <w:t>Deine nächsten Schritte</w:t>
      </w:r>
    </w:p>
    <w:p>
      <w:r>
        <w:rPr>
          <w:b w:val="0"/>
        </w:rPr>
        <w:t>Übe zuerst: _____________________________________________________</w:t>
        <w:br/>
        <w:t>Passender Auftrag: ______________________________________________</w:t>
      </w:r>
    </w:p>
    <w:p>
      <w:r>
        <w:rPr>
          <w:b w:val="0"/>
        </w:rPr>
        <w:t>Wenn nötig, übe danach: __________________________________________</w:t>
      </w:r>
    </w:p>
    <w:p>
      <w:r>
        <w:rPr>
          <w:b w:val="0"/>
        </w:rPr>
        <w:t>Erkläre einen dieser Zusammenhänge in zwei eigenen Sätzen auf U.1. Besprich deine Erklärung mit einem Partner oder deiner Lehrkraft.</w:t>
      </w:r>
    </w:p>
    <w:sectPr w:rsidR="00FC693F" w:rsidRPr="0006063C" w:rsidSect="00034616">
      <w:headerReference w:type="default" r:id="rId9"/>
      <w:footerReference w:type="default" r:id="rId10"/>
      <w:pgSz w:w="11906" w:h="16838"/>
      <w:pgMar w:top="964" w:right="1020" w:bottom="96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Erwartungshorizont  |  30 Minuten Open Book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WP Technik 7  |  Vom Baum zum Holz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00" w:before="0"/>
    </w:pPr>
    <w:rPr>
      <w:rFonts w:ascii="DejaVu Sans" w:hAnsi="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line="264" w:lineRule="auto"/>
      <w:outlineLvl w:val="0"/>
    </w:pPr>
    <w:rPr>
      <w:rFonts w:asciiTheme="majorHAnsi" w:eastAsiaTheme="majorEastAsia" w:hAnsiTheme="majorHAnsi" w:cstheme="majorBidi" w:ascii="DejaVu Sans" w:hAnsi="DejaVu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line="264" w:lineRule="auto"/>
      <w:outlineLvl w:val="1"/>
    </w:pPr>
    <w:rPr>
      <w:rFonts w:asciiTheme="majorHAnsi" w:eastAsiaTheme="majorEastAsia" w:hAnsiTheme="majorHAnsi" w:cstheme="majorBidi" w:ascii="DejaVu Sans" w:hAnsi="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64" w:lineRule="auto" w:before="160"/>
      <w:contextualSpacing/>
    </w:pPr>
    <w:rPr>
      <w:rFonts w:asciiTheme="majorHAnsi" w:eastAsiaTheme="majorEastAsia" w:hAnsiTheme="majorHAnsi" w:cstheme="majorBidi" w:ascii="DejaVu Sans" w:hAnsi="DejaVu Sans"/>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