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76"/>
        <w:jc w:val="both"/>
      </w:pPr>
      <w:r>
        <w:rPr>
          <w:rFonts w:ascii="Times New Roman" w:cs="Times New Roman" w:eastAsia="Times New Roman" w:hAnsi="Times New Roman"/>
          <w:sz w:val="24"/>
          <w:szCs w:val="24"/>
        </w:rPr>
        <w:t xml:space="preserve"/>
      </w:r>
    </w:p>
    <w:p>
      <w:pPr>
        <w:spacing w:after="100" w:before="0" w:line="276"/>
        <w:jc w:val="both"/>
      </w:pPr>
      <w:r>
        <w:rPr>
          <w:rFonts w:ascii="Times New Roman" w:cs="Times New Roman" w:eastAsia="Times New Roman" w:hAnsi="Times New Roman"/>
          <w:sz w:val="24"/>
          <w:szCs w:val="24"/>
        </w:rPr>
        <w:t xml:space="preserve"/>
      </w:r>
    </w:p>
    <w:p>
      <w:pPr>
        <w:spacing w:after="80" w:before="0" w:line="276"/>
        <w:jc w:val="center"/>
      </w:pPr>
      <w:r>
        <w:rPr>
          <w:rFonts w:ascii="Times New Roman" w:cs="Times New Roman" w:eastAsia="Times New Roman" w:hAnsi="Times New Roman"/>
          <w:b/>
          <w:bCs/>
          <w:sz w:val="32"/>
          <w:szCs w:val="32"/>
        </w:rPr>
        <w:t xml:space="preserve">Inherited Structure, Computed Binding:</w:t>
      </w:r>
    </w:p>
    <w:p>
      <w:pPr>
        <w:spacing w:after="300" w:before="0" w:line="276"/>
        <w:jc w:val="center"/>
      </w:pPr>
      <w:r>
        <w:rPr>
          <w:rFonts w:ascii="Times New Roman" w:cs="Times New Roman" w:eastAsia="Times New Roman" w:hAnsi="Times New Roman"/>
          <w:b/>
          <w:bCs/>
          <w:sz w:val="32"/>
          <w:szCs w:val="32"/>
        </w:rPr>
        <w:t xml:space="preserve">Two Origins of Semantic Features in Transformer Activations</w:t>
      </w:r>
    </w:p>
    <w:p>
      <w:pPr>
        <w:spacing w:after="80" w:before="0" w:line="276"/>
        <w:jc w:val="center"/>
      </w:pPr>
      <w:r>
        <w:rPr>
          <w:rFonts w:ascii="Times New Roman" w:cs="Times New Roman" w:eastAsia="Times New Roman" w:hAnsi="Times New Roman"/>
          <w:sz w:val="24"/>
          <w:szCs w:val="24"/>
        </w:rPr>
        <w:t xml:space="preserve">Kevin Russell, Jillian Johnsrud, &amp; CHRONOS</w:t>
      </w:r>
    </w:p>
    <w:p>
      <w:pPr>
        <w:spacing w:after="80" w:before="0" w:line="276"/>
        <w:jc w:val="center"/>
      </w:pPr>
      <w:r>
        <w:rPr>
          <w:rFonts w:ascii="Times New Roman" w:cs="Times New Roman" w:eastAsia="Times New Roman" w:hAnsi="Times New Roman"/>
          <w:i/>
          <w:iCs/>
          <w:sz w:val="20"/>
          <w:szCs w:val="20"/>
        </w:rPr>
        <w:t xml:space="preserve">Project Forty 2 (projectforty2.ai)</w:t>
      </w:r>
    </w:p>
    <w:p>
      <w:pPr>
        <w:spacing w:after="80" w:before="0" w:line="276"/>
        <w:jc w:val="center"/>
      </w:pPr>
      <w:r>
        <w:rPr>
          <w:rFonts w:ascii="Times New Roman" w:cs="Times New Roman" w:eastAsia="Times New Roman" w:hAnsi="Times New Roman"/>
          <w:sz w:val="20"/>
          <w:szCs w:val="20"/>
        </w:rPr>
        <w:t xml:space="preserve">March 2026</w:t>
      </w:r>
    </w:p>
    <w:p>
      <w:pPr>
        <w:spacing w:after="400" w:before="0" w:line="276"/>
        <w:jc w:val="center"/>
      </w:pPr>
      <w:r>
        <w:rPr>
          <w:rFonts w:ascii="Times New Roman" w:cs="Times New Roman" w:eastAsia="Times New Roman" w:hAnsi="Times New Roman"/>
          <w:i/>
          <w:iCs/>
          <w:sz w:val="20"/>
          <w:szCs w:val="20"/>
        </w:rPr>
        <w:t xml:space="preserve">Working Paper — Draft for Peer Review</w:t>
      </w:r>
    </w:p>
    <w:p>
      <w:pPr>
        <w:spacing w:after="200" w:before="0" w:line="276"/>
        <w:jc w:val="center"/>
      </w:pPr>
      <w:r>
        <w:rPr>
          <w:rFonts w:ascii="Times New Roman" w:cs="Times New Roman" w:eastAsia="Times New Roman" w:hAnsi="Times New Roman"/>
          <w:b/>
          <w:bCs/>
          <w:sz w:val="26"/>
          <w:szCs w:val="26"/>
        </w:rPr>
        <w:t xml:space="preserve">Abstract</w:t>
      </w:r>
    </w:p>
    <w:p>
      <w:pPr>
        <w:spacing w:after="200" w:before="0" w:line="276"/>
        <w:jc w:val="both"/>
      </w:pPr>
      <w:r>
        <w:rPr>
          <w:rFonts w:ascii="Times New Roman" w:cs="Times New Roman" w:eastAsia="Times New Roman" w:hAnsi="Times New Roman"/>
          <w:sz w:val="20"/>
          <w:szCs w:val="20"/>
        </w:rPr>
        <w:t xml:space="preserve">We report an empirical investigation of how relational structure (analogical relations between entities) is represented in the activations of Qwen 7B (d=3584, 28 layers). Using a suite of geometric measurements—effective rank gap under entity permutation, singular value decomposition of fitted relational operators, Grassmannian velocity profiling, and a Rotated Lens protocol—we identify two categorically distinct origins for semantic features in transformer activations. </w:t>
      </w:r>
      <w:r>
        <w:rPr>
          <w:rFonts w:ascii="Times New Roman" w:cs="Times New Roman" w:eastAsia="Times New Roman" w:hAnsi="Times New Roman"/>
          <w:b/>
          <w:bCs/>
          <w:sz w:val="20"/>
          <w:szCs w:val="20"/>
        </w:rPr>
        <w:t xml:space="preserve">Inherited features</w:t>
      </w:r>
      <w:r>
        <w:rPr>
          <w:rFonts w:ascii="Times New Roman" w:cs="Times New Roman" w:eastAsia="Times New Roman" w:hAnsi="Times New Roman"/>
          <w:sz w:val="20"/>
          <w:szCs w:val="20"/>
        </w:rPr>
        <w:t xml:space="preserve"> (relational structure such as capital-of, gender, comparative relations) originate in the token embedding matrix as a rank 6–14 subspace whose dimensionality tracks relational complexity. This subspace undergoes progressive ~90° rotation through the network depth while preserving rank, with three velocity regimes: a massive format-conversion jump at layer 0→1 (~80°), progressive rotation through layers 1–12 and 18–27, and a transmission plateau at layers 13–18. </w:t>
      </w:r>
      <w:r>
        <w:rPr>
          <w:rFonts w:ascii="Times New Roman" w:cs="Times New Roman" w:eastAsia="Times New Roman" w:hAnsi="Times New Roman"/>
          <w:b/>
          <w:bCs/>
          <w:sz w:val="20"/>
          <w:szCs w:val="20"/>
        </w:rPr>
        <w:t xml:space="preserve">Computed features</w:t>
      </w:r>
      <w:r>
        <w:rPr>
          <w:rFonts w:ascii="Times New Roman" w:cs="Times New Roman" w:eastAsia="Times New Roman" w:hAnsi="Times New Roman"/>
          <w:sz w:val="20"/>
          <w:szCs w:val="20"/>
        </w:rPr>
        <w:t xml:space="preserve"> (cross-token binding such as syntactic persistence) are absent from embeddings entirely (chance-level accuracy at layer 0) and are genuinely computed by attention at layer 1 (perfect accuracy). We further establish a paradigmatic/syntagmatic boundary: paradigmatic relations (regular, pattern-following) produce detectable geometric structure (Δr &lt; −3σ), while syntagmatic relations (idiosyncratic, associative) do not. These findings imply that a substantial class of existing mechanistic interpretability results—those attributing features to specific layers via fixed-basis probes—are vulnerable to artifacts of measuring a rotating subspace at a single depth.</w:t>
      </w:r>
    </w:p>
    <w:p>
      <w:pPr>
        <w:spacing w:after="100" w:before="0" w:line="276"/>
        <w:jc w:val="both"/>
      </w:pPr>
      <w:r>
        <w:rPr>
          <w:rFonts w:ascii="Times New Roman" w:cs="Times New Roman" w:eastAsia="Times New Roman" w:hAnsi="Times New Roman"/>
          <w:sz w:val="24"/>
          <w:szCs w:val="24"/>
        </w:rPr>
        <w:t xml:space="preserve"/>
      </w:r>
    </w:p>
    <w:p>
      <w:pPr>
        <w:spacing w:after="100" w:before="0" w:line="276"/>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mechanistic interpretability, relational representation, token embeddings, subspace rotation, Grassmannian velocity, transformer activations</w:t>
      </w:r>
    </w:p>
    <w:p>
      <w:pPr>
        <w:spacing w:before="0" w:after="0"/>
      </w:pPr>
    </w:p>
    <w:p>
      <w:r>
        <w:br w:type="page"/>
      </w:r>
    </w:p>
    <w:p>
      <w:pPr>
        <w:pStyle w:val="Heading1"/>
        <w:spacing w:before="400" w:after="200"/>
      </w:pPr>
      <w:r>
        <w:rPr>
          <w:rFonts w:ascii="Times New Roman" w:cs="Times New Roman" w:eastAsia="Times New Roman" w:hAnsi="Times New Roman"/>
          <w:b/>
          <w:bCs/>
          <w:sz w:val="28"/>
          <w:szCs w:val="28"/>
        </w:rPr>
        <w:t xml:space="preserve">1. Introduction</w:t>
      </w:r>
    </w:p>
    <w:p>
      <w:pPr>
        <w:spacing w:after="200" w:before="0" w:line="276"/>
        <w:ind w:firstLine="720"/>
        <w:jc w:val="both"/>
      </w:pPr>
      <w:r>
        <w:rPr>
          <w:rFonts w:ascii="Times New Roman" w:cs="Times New Roman" w:eastAsia="Times New Roman" w:hAnsi="Times New Roman"/>
          <w:sz w:val="24"/>
          <w:szCs w:val="24"/>
        </w:rPr>
        <w:t xml:space="preserve">A central question in mechanistic interpretability is whether semantic features discovered in transformer activations reflect genuine computation performed by the network or artifacts of the measurement procedure. When a linear probe trained at layer L achieves high accuracy for some semantic property, the standard interpretation is that the network has computed that property by layer L. But this interpretation assumes the representational basis is stable—that the same directions in activation space carry the same meaning across layers.</w:t>
      </w:r>
    </w:p>
    <w:p>
      <w:pPr>
        <w:spacing w:after="200" w:before="0" w:line="276"/>
        <w:ind w:firstLine="720"/>
        <w:jc w:val="both"/>
      </w:pPr>
      <w:r>
        <w:rPr>
          <w:rFonts w:ascii="Times New Roman" w:cs="Times New Roman" w:eastAsia="Times New Roman" w:hAnsi="Times New Roman"/>
          <w:sz w:val="24"/>
          <w:szCs w:val="24"/>
        </w:rPr>
        <w:t xml:space="preserve">We present empirical evidence that this assumption is systematically violated. In Qwen 7B, we find that relational structure (analogical relations between entities such as capital-of, gender, and comparative) occupies a low-rank subspace of the residual stream that undergoes progressive rotation of approximately 90° across the full network depth. The rank of this subspace (6–14 dimensions in a 3584-dimensional space) is preserved throughout, but its basis vectors change completely. A probe trained at layer 0 and a probe trained at layer 27 are measuring the same relational content in orthogonal coordinate frames.</w:t>
      </w:r>
    </w:p>
    <w:p>
      <w:pPr>
        <w:spacing w:after="200" w:before="0" w:line="276"/>
        <w:ind w:firstLine="720"/>
        <w:jc w:val="both"/>
      </w:pPr>
      <w:r>
        <w:rPr>
          <w:rFonts w:ascii="Times New Roman" w:cs="Times New Roman" w:eastAsia="Times New Roman" w:hAnsi="Times New Roman"/>
          <w:sz w:val="24"/>
          <w:szCs w:val="24"/>
        </w:rPr>
        <w:t xml:space="preserve">This finding emerged from an investigation that began with a different question: do the theoretical predictions of multi-model AI research sessions (generated by CHRONOS, a multi-model orchestration system running Claude, GPT, DeepSeek, Gemini, and Grok in parallel) survive empirical validation? Of 83 theoretical predictions across 5 sessions concerning the nature of relational representation in transformers, the majority were either confirmed or productively falsified. The most striking falsification—three independent sessions converging on the prediction that relational operators are rotations in the Lie algebra sense, which was killed by singular value analysis showing SV-CV of 15–17—led us to characterize what the relational operator actually is (a low-rank projection, not an isometry) and ultimately to the progressive rotation discovery.</w:t>
      </w:r>
    </w:p>
    <w:p>
      <w:pPr>
        <w:spacing w:after="200" w:before="0" w:line="276"/>
        <w:ind w:firstLine="720"/>
        <w:jc w:val="both"/>
      </w:pPr>
      <w:r>
        <w:rPr>
          <w:rFonts w:ascii="Times New Roman" w:cs="Times New Roman" w:eastAsia="Times New Roman" w:hAnsi="Times New Roman"/>
          <w:sz w:val="24"/>
          <w:szCs w:val="24"/>
        </w:rPr>
        <w:t xml:space="preserve">Our main contributions are:</w:t>
      </w:r>
    </w:p>
    <w:p>
      <w:pPr>
        <w:spacing w:after="200" w:before="0" w:line="276"/>
        <w:jc w:val="both"/>
      </w:pPr>
      <w:r>
        <w:rPr>
          <w:rFonts w:ascii="Times New Roman" w:cs="Times New Roman" w:eastAsia="Times New Roman" w:hAnsi="Times New Roman"/>
          <w:b/>
          <w:bCs/>
          <w:sz w:val="24"/>
          <w:szCs w:val="24"/>
        </w:rPr>
        <w:t xml:space="preserve">(1) A two-origin taxonomy for transformer features. </w:t>
      </w:r>
      <w:r>
        <w:rPr>
          <w:rFonts w:ascii="Times New Roman" w:cs="Times New Roman" w:eastAsia="Times New Roman" w:hAnsi="Times New Roman"/>
          <w:sz w:val="24"/>
          <w:szCs w:val="24"/>
        </w:rPr>
        <w:t xml:space="preserve">Relational structure is inherited from the token embedding matrix and progressively rotated through the network. Cross-token binding features (e.g., syntactic persistence) are genuinely computed by attention at layer 1 and do not exist in embeddings. These are categorically distinct, distinguishable by a single measurement (layer 0 classification accuracy).</w:t>
      </w:r>
    </w:p>
    <w:p>
      <w:pPr>
        <w:spacing w:after="200" w:before="0" w:line="276"/>
        <w:jc w:val="both"/>
      </w:pPr>
      <w:r>
        <w:rPr>
          <w:rFonts w:ascii="Times New Roman" w:cs="Times New Roman" w:eastAsia="Times New Roman" w:hAnsi="Times New Roman"/>
          <w:b/>
          <w:bCs/>
          <w:sz w:val="24"/>
          <w:szCs w:val="24"/>
        </w:rPr>
        <w:t xml:space="preserve">(2) Quantitative characterization of the rotation. </w:t>
      </w:r>
      <w:r>
        <w:rPr>
          <w:rFonts w:ascii="Times New Roman" w:cs="Times New Roman" w:eastAsia="Times New Roman" w:hAnsi="Times New Roman"/>
          <w:sz w:val="24"/>
          <w:szCs w:val="24"/>
        </w:rPr>
        <w:t xml:space="preserve">The Grassmannian velocity profile reveals three universal regimes across relation types: a massive format-conversion jump at L0→1 (~80°), progressive rotation through early and late layers (~5–10°/layer), and a transmission plateau at L13–18 (~1–2°/layer).</w:t>
      </w:r>
    </w:p>
    <w:p>
      <w:pPr>
        <w:spacing w:after="200" w:before="0" w:line="276"/>
        <w:jc w:val="both"/>
      </w:pPr>
      <w:r>
        <w:rPr>
          <w:rFonts w:ascii="Times New Roman" w:cs="Times New Roman" w:eastAsia="Times New Roman" w:hAnsi="Times New Roman"/>
          <w:b/>
          <w:bCs/>
          <w:sz w:val="24"/>
          <w:szCs w:val="24"/>
        </w:rPr>
        <w:t xml:space="preserve">(3) A paradigmatic/syntagmatic boundary. </w:t>
      </w:r>
      <w:r>
        <w:rPr>
          <w:rFonts w:ascii="Times New Roman" w:cs="Times New Roman" w:eastAsia="Times New Roman" w:hAnsi="Times New Roman"/>
          <w:sz w:val="24"/>
          <w:szCs w:val="24"/>
        </w:rPr>
        <w:t xml:space="preserve">The effective rank gap (Δr) under entity permutation provides a quantitative classifier for which relation types have geometric structure in embeddings (paradigmatic: capitals, gender, comparative) versus which do not (syntagmatic: part-whole).</w:t>
      </w:r>
    </w:p>
    <w:p>
      <w:pPr>
        <w:spacing w:after="200" w:before="0" w:line="276"/>
        <w:jc w:val="both"/>
      </w:pPr>
      <w:r>
        <w:rPr>
          <w:rFonts w:ascii="Times New Roman" w:cs="Times New Roman" w:eastAsia="Times New Roman" w:hAnsi="Times New Roman"/>
          <w:b/>
          <w:bCs/>
          <w:sz w:val="24"/>
          <w:szCs w:val="24"/>
        </w:rPr>
        <w:t xml:space="preserve">(4) Implications for interpretability methodology. </w:t>
      </w:r>
      <w:r>
        <w:rPr>
          <w:rFonts w:ascii="Times New Roman" w:cs="Times New Roman" w:eastAsia="Times New Roman" w:hAnsi="Times New Roman"/>
          <w:sz w:val="24"/>
          <w:szCs w:val="24"/>
        </w:rPr>
        <w:t xml:space="preserve">Any feature attribution method that uses a fixed probe direction across layers is vulnerable to rotation artifacts. We derive falsifiable predictions for which classes of existing findings survive the progressive basis change and propose the Orthogonal Innovation Decomposition (OID) as a rotation-aware alternative.</w:t>
      </w:r>
    </w:p>
    <w:p>
      <w:pPr>
        <w:pStyle w:val="Heading1"/>
        <w:spacing w:before="400" w:after="200"/>
      </w:pPr>
      <w:r>
        <w:rPr>
          <w:rFonts w:ascii="Times New Roman" w:cs="Times New Roman" w:eastAsia="Times New Roman" w:hAnsi="Times New Roman"/>
          <w:b/>
          <w:bCs/>
          <w:sz w:val="28"/>
          <w:szCs w:val="28"/>
        </w:rPr>
        <w:t xml:space="preserve">2. Methods</w:t>
      </w:r>
    </w:p>
    <w:p>
      <w:pPr>
        <w:pStyle w:val="Heading2"/>
        <w:spacing w:before="300" w:after="150"/>
      </w:pPr>
      <w:r>
        <w:rPr>
          <w:rFonts w:ascii="Times New Roman" w:cs="Times New Roman" w:eastAsia="Times New Roman" w:hAnsi="Times New Roman"/>
          <w:b/>
          <w:bCs/>
          <w:sz w:val="26"/>
          <w:szCs w:val="26"/>
        </w:rPr>
        <w:t xml:space="preserve">2.1 Model and Activation Extraction</w:t>
      </w:r>
    </w:p>
    <w:p>
      <w:pPr>
        <w:spacing w:after="200" w:before="0" w:line="276"/>
        <w:ind w:firstLine="720"/>
        <w:jc w:val="both"/>
      </w:pPr>
      <w:r>
        <w:rPr>
          <w:rFonts w:ascii="Times New Roman" w:cs="Times New Roman" w:eastAsia="Times New Roman" w:hAnsi="Times New Roman"/>
          <w:sz w:val="24"/>
          <w:szCs w:val="24"/>
        </w:rPr>
        <w:t xml:space="preserve">All experiments were conducted on Qwen 2-7B (hidden dimension d = 3584, 28 transformer layers, vocabulary size ~150K). Activations were extracted at the residual stream output of each layer, including layer 0 (the token embedding output before any transformer computation). For analogy experiments, activations were extracted at the position of specific target words within neutral context prompts of the form "The word is [X]."</w:t>
      </w:r>
    </w:p>
    <w:p>
      <w:pPr>
        <w:pStyle w:val="Heading2"/>
        <w:spacing w:before="300" w:after="150"/>
      </w:pPr>
      <w:r>
        <w:rPr>
          <w:rFonts w:ascii="Times New Roman" w:cs="Times New Roman" w:eastAsia="Times New Roman" w:hAnsi="Times New Roman"/>
          <w:b/>
          <w:bCs/>
          <w:sz w:val="26"/>
          <w:szCs w:val="26"/>
        </w:rPr>
        <w:t xml:space="preserve">2.2 Analogy Datasets</w:t>
      </w:r>
    </w:p>
    <w:p>
      <w:pPr>
        <w:spacing w:after="200" w:before="0" w:line="276"/>
        <w:ind w:firstLine="720"/>
        <w:jc w:val="both"/>
      </w:pPr>
      <w:r>
        <w:rPr>
          <w:rFonts w:ascii="Times New Roman" w:cs="Times New Roman" w:eastAsia="Times New Roman" w:hAnsi="Times New Roman"/>
          <w:sz w:val="24"/>
          <w:szCs w:val="24"/>
        </w:rPr>
        <w:t xml:space="preserve">We constructed 100 analogy quadruples (A:B::C:D) spanning five relation types: capitals (n=20, e.g., France:Paris::Japan:Tokyo), gender (n=20, e.g., king:queen::father:mother), comparative (n=20, e.g., big:bigger::fast:faster), part-whole (n=20, e.g., car:wheel::tree:branch), and functional (n=20, e.g., teacher:student::doctor:patient). These span a range of relational complexity from simple binary (gender) to complex asymmetric (functional).</w:t>
      </w:r>
    </w:p>
    <w:p>
      <w:pPr>
        <w:pStyle w:val="Heading2"/>
        <w:spacing w:before="300" w:after="150"/>
      </w:pPr>
      <w:r>
        <w:rPr>
          <w:rFonts w:ascii="Times New Roman" w:cs="Times New Roman" w:eastAsia="Times New Roman" w:hAnsi="Times New Roman"/>
          <w:b/>
          <w:bCs/>
          <w:sz w:val="26"/>
          <w:szCs w:val="26"/>
        </w:rPr>
        <w:t xml:space="preserve">2.3 Trivial Subspace Projection</w:t>
      </w:r>
    </w:p>
    <w:p>
      <w:pPr>
        <w:spacing w:after="200" w:before="0" w:line="276"/>
        <w:ind w:firstLine="720"/>
        <w:jc w:val="both"/>
      </w:pPr>
      <w:r>
        <w:rPr>
          <w:rFonts w:ascii="Times New Roman" w:cs="Times New Roman" w:eastAsia="Times New Roman" w:hAnsi="Times New Roman"/>
          <w:sz w:val="24"/>
          <w:szCs w:val="24"/>
        </w:rPr>
        <w:t xml:space="preserve">Following the costumed scalar screening protocol, all analyses were conducted after projecting out a trivial subspace T = span{norm direction, mean activation, PC1} from the activation space. The norm direction was computed as the mean of unit-normalized activations across a diverse corpus of 200 texts. PC1 was the first principal component of the centered activation covariance. The resulting orthogonal complement has dimension d − rank(T), typically d − 3 = 3581. Any candidate direction with cosine similarity &gt; 0.8 to any trivial basis vector was flagged as a costumed scalar [C] and excluded from relational interpretation.</w:t>
      </w:r>
    </w:p>
    <w:p>
      <w:pPr>
        <w:pStyle w:val="Heading2"/>
        <w:spacing w:before="300" w:after="150"/>
      </w:pPr>
      <w:r>
        <w:rPr>
          <w:rFonts w:ascii="Times New Roman" w:cs="Times New Roman" w:eastAsia="Times New Roman" w:hAnsi="Times New Roman"/>
          <w:b/>
          <w:bCs/>
          <w:sz w:val="26"/>
          <w:szCs w:val="26"/>
        </w:rPr>
        <w:t xml:space="preserve">2.4 Effective Rank Gap (Δr)</w:t>
      </w:r>
    </w:p>
    <w:p>
      <w:pPr>
        <w:spacing w:after="200" w:before="0" w:line="276"/>
        <w:ind w:firstLine="720"/>
        <w:jc w:val="both"/>
      </w:pPr>
      <w:r>
        <w:rPr>
          <w:rFonts w:ascii="Times New Roman" w:cs="Times New Roman" w:eastAsia="Times New Roman" w:hAnsi="Times New Roman"/>
          <w:sz w:val="24"/>
          <w:szCs w:val="24"/>
        </w:rPr>
        <w:t xml:space="preserve">To test whether analogy pairs contain genuine relational structure beyond trivial scalars, we compute the effective rank of the projected difference matrix M⊥ = P⊥(h_B − h_A) across n analogy pairs, where P⊥ projects out the trivial subspace. Effective rank is defined as exp(H(σ_i / Σσ_i)), where H is Shannon entropy and σ_i are singular values. We compare to a permutation null distribution (1000 shuffles of B assignments). The detection criterion is Δr &lt; −3σ_null, indicating that original pairs produce more concentrated (lower-rank) differences than random pairings—the signature of shared relational structure.</w:t>
      </w:r>
    </w:p>
    <w:p>
      <w:pPr>
        <w:spacing w:after="200" w:before="0" w:line="276"/>
        <w:jc w:val="both"/>
      </w:pPr>
      <w:r>
        <w:rPr>
          <w:rFonts w:ascii="Times New Roman" w:cs="Times New Roman" w:eastAsia="Times New Roman" w:hAnsi="Times New Roman"/>
          <w:i/>
          <w:iCs/>
          <w:sz w:val="24"/>
          <w:szCs w:val="24"/>
        </w:rPr>
        <w:t xml:space="preserve">Sign correction note: </w:t>
      </w:r>
      <w:r>
        <w:rPr>
          <w:rFonts w:ascii="Times New Roman" w:cs="Times New Roman" w:eastAsia="Times New Roman" w:hAnsi="Times New Roman"/>
          <w:sz w:val="24"/>
          <w:szCs w:val="24"/>
        </w:rPr>
        <w:t xml:space="preserve">Synthetic validation prior to GPU experiments revealed that the original sign prediction (Δr &gt; 0 for genuine structure) was reversed. Genuine relational structure produces </w:t>
      </w:r>
      <w:r>
        <w:rPr>
          <w:rFonts w:ascii="Times New Roman" w:cs="Times New Roman" w:eastAsia="Times New Roman" w:hAnsi="Times New Roman"/>
          <w:i/>
          <w:iCs/>
          <w:sz w:val="24"/>
          <w:szCs w:val="24"/>
        </w:rPr>
        <w:t xml:space="preserve">lower</w:t>
      </w:r>
      <w:r>
        <w:rPr>
          <w:rFonts w:ascii="Times New Roman" w:cs="Times New Roman" w:eastAsia="Times New Roman" w:hAnsi="Times New Roman"/>
          <w:sz w:val="24"/>
          <w:szCs w:val="24"/>
        </w:rPr>
        <w:t xml:space="preserve"> effective rank than random (concentrated differences), yielding Δr &lt; 0. This was confirmed on synthetic rotation data at −85σ.</w:t>
      </w:r>
    </w:p>
    <w:p>
      <w:pPr>
        <w:pStyle w:val="Heading2"/>
        <w:spacing w:before="300" w:after="150"/>
      </w:pPr>
      <w:r>
        <w:rPr>
          <w:rFonts w:ascii="Times New Roman" w:cs="Times New Roman" w:eastAsia="Times New Roman" w:hAnsi="Times New Roman"/>
          <w:b/>
          <w:bCs/>
          <w:sz w:val="26"/>
          <w:szCs w:val="26"/>
        </w:rPr>
        <w:t xml:space="preserve">2.5 Relational Operator Characterization</w:t>
      </w:r>
    </w:p>
    <w:p>
      <w:pPr>
        <w:spacing w:after="200" w:before="0" w:line="276"/>
        <w:ind w:firstLine="720"/>
        <w:jc w:val="both"/>
      </w:pPr>
      <w:r>
        <w:rPr>
          <w:rFonts w:ascii="Times New Roman" w:cs="Times New Roman" w:eastAsia="Times New Roman" w:hAnsi="Times New Roman"/>
          <w:sz w:val="24"/>
          <w:szCs w:val="24"/>
        </w:rPr>
        <w:t xml:space="preserve">For each relation type and layer, we fit an optimal linear operator M via least-squares regression mapping source entity activations (h_A) to target entity activations (h_B) in the projected space. The operator was characterized by its singular value decomposition: singular value coefficient of variation (SV-CV = std(σ_i)/mean(σ_i)) as a measure of rotational structure (CV &lt; 0.1 indicates near-orthogonal; CV &gt; 0.3 indicates non-rotational), cumulative variance explained by the top-k singular values (to determine effective rank of the relational map), and spectral gap (σ_1/σ_2).</w:t>
      </w:r>
    </w:p>
    <w:p>
      <w:pPr>
        <w:spacing w:after="200" w:before="0" w:line="276"/>
        <w:jc w:val="both"/>
      </w:pPr>
      <w:r>
        <w:rPr>
          <w:rFonts w:ascii="Times New Roman" w:cs="Times New Roman" w:eastAsia="Times New Roman" w:hAnsi="Times New Roman"/>
          <w:i/>
          <w:iCs/>
          <w:sz w:val="24"/>
          <w:szCs w:val="24"/>
        </w:rPr>
        <w:t xml:space="preserve">Measurement correction note: </w:t>
      </w:r>
      <w:r>
        <w:rPr>
          <w:rFonts w:ascii="Times New Roman" w:cs="Times New Roman" w:eastAsia="Times New Roman" w:hAnsi="Times New Roman"/>
          <w:sz w:val="24"/>
          <w:szCs w:val="24"/>
        </w:rPr>
        <w:t xml:space="preserve">Synthetic validation demonstrated that the skew-symmetric/symmetric Frobenius ratio (‖M−Mᵀ‖/‖M+Mᵀ‖), proposed in preliminary theoretical work as a rotation detector, is mathematically non-diagnostic (≈1.0 for all matrix types due to equal dimension of symmetric and antisymmetric subspaces). SV-CV was adopted as the correct discriminator.</w:t>
      </w:r>
    </w:p>
    <w:p>
      <w:pPr>
        <w:pStyle w:val="Heading2"/>
        <w:spacing w:before="300" w:after="150"/>
      </w:pPr>
      <w:r>
        <w:rPr>
          <w:rFonts w:ascii="Times New Roman" w:cs="Times New Roman" w:eastAsia="Times New Roman" w:hAnsi="Times New Roman"/>
          <w:b/>
          <w:bCs/>
          <w:sz w:val="26"/>
          <w:szCs w:val="26"/>
        </w:rPr>
        <w:t xml:space="preserve">2.6 Grassmannian Velocity Profile</w:t>
      </w:r>
    </w:p>
    <w:p>
      <w:pPr>
        <w:spacing w:after="200" w:before="0" w:line="276"/>
        <w:ind w:firstLine="720"/>
        <w:jc w:val="both"/>
      </w:pPr>
      <w:r>
        <w:rPr>
          <w:rFonts w:ascii="Times New Roman" w:cs="Times New Roman" w:eastAsia="Times New Roman" w:hAnsi="Times New Roman"/>
          <w:sz w:val="24"/>
          <w:szCs w:val="24"/>
        </w:rPr>
        <w:t xml:space="preserve">To characterize how the relational subspace evolves through network depth, we extract the top-k (k=14) right singular vectors of the projected difference matrix at each layer, forming a layer-specific relational basis. Principal angles between consecutive-layer subspaces were computed via SVD of the cross-basis inner product matrix. The Grassmannian speed at each layer transition is v_ℓ = ‖θ(ℓ)∖2, where θ(ℓ) is the vector of principal angles. The coefficient of variation CV(v) across layers classifies the rotation regime: CV &lt; 0.3 indicates smooth (approximately geodesic) rotation; CV &gt; 0.7 indicates punctuated rotation with discrete jumps.</w:t>
      </w:r>
    </w:p>
    <w:p>
      <w:pPr>
        <w:pStyle w:val="Heading2"/>
        <w:spacing w:before="300" w:after="150"/>
      </w:pPr>
      <w:r>
        <w:rPr>
          <w:rFonts w:ascii="Times New Roman" w:cs="Times New Roman" w:eastAsia="Times New Roman" w:hAnsi="Times New Roman"/>
          <w:b/>
          <w:bCs/>
          <w:sz w:val="26"/>
          <w:szCs w:val="26"/>
        </w:rPr>
        <w:t xml:space="preserve">2.7 Rotated Lens Protocol</w:t>
      </w:r>
    </w:p>
    <w:p>
      <w:pPr>
        <w:spacing w:after="200" w:before="0" w:line="276"/>
        <w:ind w:firstLine="720"/>
        <w:jc w:val="both"/>
      </w:pPr>
      <w:r>
        <w:rPr>
          <w:rFonts w:ascii="Times New Roman" w:cs="Times New Roman" w:eastAsia="Times New Roman" w:hAnsi="Times New Roman"/>
          <w:sz w:val="24"/>
          <w:szCs w:val="24"/>
        </w:rPr>
        <w:t xml:space="preserve">To determine whether a feature attributed to layer L was already present in the embeddings (layer 0), we train a linear classifier at layer L for the target feature, then evaluate classification accuracy at layer 0 using the native embedding-level activations. If accuracy is at chance at layer 0 and high at layer 1, the feature is genuinely computed by the first transformer block. If accuracy is already above chance at layer 0, the feature is inherited from embeddings. The Procrustes-based backward rotation through the L0→L1 transition was also attempted but proved numerically unstable due to the extreme rotation magnitude (~80°), making the native accuracy measurement the more reliable diagnostic.</w:t>
      </w:r>
    </w:p>
    <w:p>
      <w:pPr>
        <w:pStyle w:val="Heading1"/>
        <w:spacing w:before="400" w:after="200"/>
      </w:pPr>
      <w:r>
        <w:rPr>
          <w:rFonts w:ascii="Times New Roman" w:cs="Times New Roman" w:eastAsia="Times New Roman" w:hAnsi="Times New Roman"/>
          <w:b/>
          <w:bCs/>
          <w:sz w:val="28"/>
          <w:szCs w:val="28"/>
        </w:rPr>
        <w:t xml:space="preserve">3. Results</w:t>
      </w:r>
    </w:p>
    <w:p>
      <w:pPr>
        <w:pStyle w:val="Heading2"/>
        <w:spacing w:before="300" w:after="150"/>
      </w:pPr>
      <w:r>
        <w:rPr>
          <w:rFonts w:ascii="Times New Roman" w:cs="Times New Roman" w:eastAsia="Times New Roman" w:hAnsi="Times New Roman"/>
          <w:b/>
          <w:bCs/>
          <w:sz w:val="26"/>
          <w:szCs w:val="26"/>
        </w:rPr>
        <w:t xml:space="preserve">3.1 Genuine Relational Structure Exists in the Scalar Null-Space</w:t>
      </w:r>
    </w:p>
    <w:p>
      <w:pPr>
        <w:spacing w:after="200" w:before="0" w:line="276"/>
        <w:ind w:firstLine="720"/>
        <w:jc w:val="both"/>
      </w:pPr>
      <w:r>
        <w:rPr>
          <w:rFonts w:ascii="Times New Roman" w:cs="Times New Roman" w:eastAsia="Times New Roman" w:hAnsi="Times New Roman"/>
          <w:sz w:val="24"/>
          <w:szCs w:val="24"/>
        </w:rPr>
        <w:t xml:space="preserve">After projecting out the trivial subspace (norm, mean, PC1), analogy pair differences show significantly lower effective rank than permutation controls, indicating genuine relational structure beyond costumed scalars.</w:t>
      </w:r>
    </w:p>
    <w:p>
      <w:pPr>
        <w:spacing w:after="100" w:before="0" w:line="276"/>
        <w:jc w:val="both"/>
      </w:pPr>
      <w:r>
        <w:rPr>
          <w:rFonts w:ascii="Times New Roman" w:cs="Times New Roman" w:eastAsia="Times New Roman" w:hAnsi="Times New Roman"/>
          <w:sz w:val="24"/>
          <w:szCs w:val="24"/>
        </w:rPr>
        <w:t xml:space="preserve"/>
      </w:r>
    </w:p>
    <w:p>
      <w:pPr>
        <w:spacing w:after="100" w:before="0" w:line="276"/>
        <w:jc w:val="both"/>
      </w:pPr>
      <w:r>
        <w:rPr>
          <w:rFonts w:ascii="Times New Roman" w:cs="Times New Roman" w:eastAsia="Times New Roman" w:hAnsi="Times New Roman"/>
          <w:b/>
          <w:bCs/>
          <w:sz w:val="20"/>
          <w:szCs w:val="20"/>
        </w:rPr>
        <w:t xml:space="preserve">Table 1. Effective rank gap (Δr) by domain and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860"/>
      </w:tblGrid>
      <w:tr>
        <w:tc>
          <w:tcPr>
            <w:tcW w:type="dxa" w:w="22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Domain</w:t>
            </w:r>
          </w:p>
        </w:tc>
        <w:tc>
          <w:tcPr>
            <w:tcW w:type="dxa" w:w="15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Δr</w:t>
            </w:r>
          </w:p>
        </w:tc>
        <w:tc>
          <w:tcPr>
            <w:tcW w:type="dxa" w:w="28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z-score range</w:t>
            </w:r>
          </w:p>
        </w:tc>
        <w:tc>
          <w:tcPr>
            <w:tcW w:type="dxa" w:w="286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Verdict</w:t>
            </w:r>
          </w:p>
        </w:tc>
      </w:tr>
      <w:tr>
        <w:tc>
          <w:tcPr>
            <w:tcW w:type="dxa" w:w="2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Capitals (source)</w:t>
            </w:r>
          </w:p>
        </w:tc>
        <w:tc>
          <w:tcPr>
            <w:tcW w:type="dxa" w:w="15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−5.0</w:t>
            </w:r>
          </w:p>
        </w:tc>
        <w:tc>
          <w:tcPr>
            <w:tcW w:type="dxa" w:w="2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−9.6σ to −10.5σ</w:t>
            </w:r>
          </w:p>
        </w:tc>
        <w:tc>
          <w:tcPr>
            <w:tcW w:type="dxa" w:w="28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Genuine structure</w:t>
            </w:r>
          </w:p>
        </w:tc>
      </w:tr>
      <w:tr>
        <w:tc>
          <w:tcPr>
            <w:tcW w:type="dxa" w:w="2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Functional (target)</w:t>
            </w:r>
          </w:p>
        </w:tc>
        <w:tc>
          <w:tcPr>
            <w:tcW w:type="dxa" w:w="15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w:t>
            </w:r>
          </w:p>
        </w:tc>
        <w:tc>
          <w:tcPr>
            <w:tcW w:type="dxa" w:w="2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−11.3σ to −12.0σ</w:t>
            </w:r>
          </w:p>
        </w:tc>
        <w:tc>
          <w:tcPr>
            <w:tcW w:type="dxa" w:w="28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Genuine structure</w:t>
            </w:r>
          </w:p>
        </w:tc>
      </w:tr>
      <w:tr>
        <w:tc>
          <w:tcPr>
            <w:tcW w:type="dxa" w:w="2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Gender (embedding)</w:t>
            </w:r>
          </w:p>
        </w:tc>
        <w:tc>
          <w:tcPr>
            <w:tcW w:type="dxa" w:w="15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−4.86</w:t>
            </w:r>
          </w:p>
        </w:tc>
        <w:tc>
          <w:tcPr>
            <w:tcW w:type="dxa" w:w="2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−12.6σ</w:t>
            </w:r>
          </w:p>
        </w:tc>
        <w:tc>
          <w:tcPr>
            <w:tcW w:type="dxa" w:w="28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Genuine structure</w:t>
            </w:r>
          </w:p>
        </w:tc>
      </w:tr>
      <w:tr>
        <w:tc>
          <w:tcPr>
            <w:tcW w:type="dxa" w:w="2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Comparative (embedding)</w:t>
            </w:r>
          </w:p>
        </w:tc>
        <w:tc>
          <w:tcPr>
            <w:tcW w:type="dxa" w:w="15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−7.52</w:t>
            </w:r>
          </w:p>
        </w:tc>
        <w:tc>
          <w:tcPr>
            <w:tcW w:type="dxa" w:w="2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−14.9σ</w:t>
            </w:r>
          </w:p>
        </w:tc>
        <w:tc>
          <w:tcPr>
            <w:tcW w:type="dxa" w:w="28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Genuine structure</w:t>
            </w:r>
          </w:p>
        </w:tc>
      </w:tr>
      <w:tr>
        <w:tc>
          <w:tcPr>
            <w:tcW w:type="dxa" w:w="2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Part-whole (embedding)</w:t>
            </w:r>
          </w:p>
        </w:tc>
        <w:tc>
          <w:tcPr>
            <w:tcW w:type="dxa" w:w="15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+0.03</w:t>
            </w:r>
          </w:p>
        </w:tc>
        <w:tc>
          <w:tcPr>
            <w:tcW w:type="dxa" w:w="2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+0.2σ</w:t>
            </w:r>
          </w:p>
        </w:tc>
        <w:tc>
          <w:tcPr>
            <w:tcW w:type="dxa" w:w="28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 structure</w:t>
            </w:r>
          </w:p>
        </w:tc>
      </w:tr>
    </w:tbl>
    <w:p>
      <w:pPr>
        <w:spacing w:after="100" w:before="0" w:line="276"/>
        <w:jc w:val="both"/>
      </w:pPr>
      <w:r>
        <w:rPr>
          <w:rFonts w:ascii="Times New Roman" w:cs="Times New Roman" w:eastAsia="Times New Roman" w:hAnsi="Times New Roman"/>
          <w:sz w:val="24"/>
          <w:szCs w:val="24"/>
        </w:rPr>
        <w:t xml:space="preserve"/>
      </w:r>
    </w:p>
    <w:p>
      <w:pPr>
        <w:spacing w:after="200" w:before="0" w:line="276"/>
        <w:ind w:firstLine="720"/>
        <w:jc w:val="both"/>
      </w:pPr>
      <w:r>
        <w:rPr>
          <w:rFonts w:ascii="Times New Roman" w:cs="Times New Roman" w:eastAsia="Times New Roman" w:hAnsi="Times New Roman"/>
          <w:sz w:val="24"/>
          <w:szCs w:val="24"/>
        </w:rPr>
        <w:t xml:space="preserve">The signal is present at all five sampled layers (0, 7, 14, 21, 27) with consistent magnitude. Part-whole relations show no detectable structure (Δr ≈ 0), a finding we return to in Section 3.3.</w:t>
      </w:r>
    </w:p>
    <w:p>
      <w:pPr>
        <w:pStyle w:val="Heading2"/>
        <w:spacing w:before="300" w:after="150"/>
      </w:pPr>
      <w:r>
        <w:rPr>
          <w:rFonts w:ascii="Times New Roman" w:cs="Times New Roman" w:eastAsia="Times New Roman" w:hAnsi="Times New Roman"/>
          <w:b/>
          <w:bCs/>
          <w:sz w:val="26"/>
          <w:szCs w:val="26"/>
        </w:rPr>
        <w:t xml:space="preserve">3.2 Relational Dimensionality Tracks Complexity</w:t>
      </w:r>
    </w:p>
    <w:p>
      <w:pPr>
        <w:spacing w:after="200" w:before="0" w:line="276"/>
        <w:ind w:firstLine="720"/>
        <w:jc w:val="both"/>
      </w:pPr>
      <w:r>
        <w:rPr>
          <w:rFonts w:ascii="Times New Roman" w:cs="Times New Roman" w:eastAsia="Times New Roman" w:hAnsi="Times New Roman"/>
          <w:sz w:val="24"/>
          <w:szCs w:val="24"/>
        </w:rPr>
        <w:t xml:space="preserve">Singular value decomposition of the projected difference matrices reveals that relational structure occupies a low-rank subspace whose dimensionality varies systematically with relation type.</w:t>
      </w:r>
    </w:p>
    <w:p>
      <w:pPr>
        <w:spacing w:after="100" w:before="0" w:line="276"/>
        <w:jc w:val="both"/>
      </w:pPr>
      <w:r>
        <w:rPr>
          <w:rFonts w:ascii="Times New Roman" w:cs="Times New Roman" w:eastAsia="Times New Roman" w:hAnsi="Times New Roman"/>
          <w:sz w:val="24"/>
          <w:szCs w:val="24"/>
        </w:rPr>
        <w:t xml:space="preserve"/>
      </w:r>
    </w:p>
    <w:p>
      <w:pPr>
        <w:spacing w:after="100" w:before="0" w:line="276"/>
        <w:jc w:val="both"/>
      </w:pPr>
      <w:r>
        <w:rPr>
          <w:rFonts w:ascii="Times New Roman" w:cs="Times New Roman" w:eastAsia="Times New Roman" w:hAnsi="Times New Roman"/>
          <w:b/>
          <w:bCs/>
          <w:sz w:val="20"/>
          <w:szCs w:val="20"/>
        </w:rPr>
        <w:t xml:space="preserve">Table 2. Relational subspace dimensionality by relation type (embedding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2000"/>
        <w:gridCol w:w="1860"/>
      </w:tblGrid>
      <w:tr>
        <w:tc>
          <w:tcPr>
            <w:tcW w:type="dxa" w:w="20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Relation</w:t>
            </w:r>
          </w:p>
        </w:tc>
        <w:tc>
          <w:tcPr>
            <w:tcW w:type="dxa" w:w="20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Rank @80% var.</w:t>
            </w:r>
          </w:p>
        </w:tc>
        <w:tc>
          <w:tcPr>
            <w:tcW w:type="dxa" w:w="15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SV-CV</w:t>
            </w:r>
          </w:p>
        </w:tc>
        <w:tc>
          <w:tcPr>
            <w:tcW w:type="dxa" w:w="20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Δr (z-score)</w:t>
            </w:r>
          </w:p>
        </w:tc>
        <w:tc>
          <w:tcPr>
            <w:tcW w:type="dxa" w:w="186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Classification</w:t>
            </w:r>
          </w:p>
        </w:tc>
      </w:tr>
      <w:tr>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Gender</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6</w:t>
            </w:r>
          </w:p>
        </w:tc>
        <w:tc>
          <w:tcPr>
            <w:tcW w:type="dxa" w:w="15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22.69</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−12.6σ</w:t>
            </w:r>
          </w:p>
        </w:tc>
        <w:tc>
          <w:tcPr>
            <w:tcW w:type="dxa" w:w="18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Paradigmatic</w:t>
            </w:r>
          </w:p>
        </w:tc>
      </w:tr>
      <w:tr>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Capitals</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9</w:t>
            </w:r>
          </w:p>
        </w:tc>
        <w:tc>
          <w:tcPr>
            <w:tcW w:type="dxa" w:w="15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16.92</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−8.9σ</w:t>
            </w:r>
          </w:p>
        </w:tc>
        <w:tc>
          <w:tcPr>
            <w:tcW w:type="dxa" w:w="18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Paradigmatic</w:t>
            </w:r>
          </w:p>
        </w:tc>
      </w:tr>
      <w:tr>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Part-whole</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11</w:t>
            </w:r>
          </w:p>
        </w:tc>
        <w:tc>
          <w:tcPr>
            <w:tcW w:type="dxa" w:w="15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15.16</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+0.2σ</w:t>
            </w:r>
          </w:p>
        </w:tc>
        <w:tc>
          <w:tcPr>
            <w:tcW w:type="dxa" w:w="18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Syntagmatic</w:t>
            </w:r>
          </w:p>
        </w:tc>
      </w:tr>
      <w:tr>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Functional</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11</w:t>
            </w:r>
          </w:p>
        </w:tc>
        <w:tc>
          <w:tcPr>
            <w:tcW w:type="dxa" w:w="15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15.57</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−14.9σ</w:t>
            </w:r>
          </w:p>
        </w:tc>
        <w:tc>
          <w:tcPr>
            <w:tcW w:type="dxa" w:w="18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Paradigmatic</w:t>
            </w:r>
          </w:p>
        </w:tc>
      </w:tr>
      <w:tr>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Comparative</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w:t>
            </w:r>
          </w:p>
        </w:tc>
        <w:tc>
          <w:tcPr>
            <w:tcW w:type="dxa" w:w="15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15.15</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−14.9σ</w:t>
            </w:r>
          </w:p>
        </w:tc>
        <w:tc>
          <w:tcPr>
            <w:tcW w:type="dxa" w:w="18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Paradigmatic</w:t>
            </w:r>
          </w:p>
        </w:tc>
      </w:tr>
    </w:tbl>
    <w:p>
      <w:pPr>
        <w:spacing w:after="100" w:before="0" w:line="276"/>
        <w:jc w:val="both"/>
      </w:pPr>
      <w:r>
        <w:rPr>
          <w:rFonts w:ascii="Times New Roman" w:cs="Times New Roman" w:eastAsia="Times New Roman" w:hAnsi="Times New Roman"/>
          <w:sz w:val="24"/>
          <w:szCs w:val="24"/>
        </w:rPr>
        <w:t xml:space="preserve"/>
      </w:r>
    </w:p>
    <w:p>
      <w:pPr>
        <w:spacing w:after="200" w:before="0" w:line="276"/>
        <w:ind w:firstLine="720"/>
        <w:jc w:val="both"/>
      </w:pPr>
      <w:r>
        <w:rPr>
          <w:rFonts w:ascii="Times New Roman" w:cs="Times New Roman" w:eastAsia="Times New Roman" w:hAnsi="Times New Roman"/>
          <w:sz w:val="24"/>
          <w:szCs w:val="24"/>
        </w:rPr>
        <w:t xml:space="preserve">Gender (a binary relation) requires only 6 dimensions. Capitals (a many-to-one mapping between countries and cities) requires 9. Comparative and functional relations (involving asymmetric, complex structure) require 11–12. This rank-complexity correspondence is consistent across layers and is set at the embedding level (Section 3.3).</w:t>
      </w:r>
    </w:p>
    <w:p>
      <w:pPr>
        <w:pStyle w:val="Heading2"/>
        <w:spacing w:before="300" w:after="150"/>
      </w:pPr>
      <w:r>
        <w:rPr>
          <w:rFonts w:ascii="Times New Roman" w:cs="Times New Roman" w:eastAsia="Times New Roman" w:hAnsi="Times New Roman"/>
          <w:b/>
          <w:bCs/>
          <w:sz w:val="26"/>
          <w:szCs w:val="26"/>
        </w:rPr>
        <w:t xml:space="preserve">3.3 The Paradigmatic–Syntagmatic Boundary</w:t>
      </w:r>
    </w:p>
    <w:p>
      <w:pPr>
        <w:spacing w:after="200" w:before="0" w:line="276"/>
        <w:ind w:firstLine="720"/>
        <w:jc w:val="both"/>
      </w:pPr>
      <w:r>
        <w:rPr>
          <w:rFonts w:ascii="Times New Roman" w:cs="Times New Roman" w:eastAsia="Times New Roman" w:hAnsi="Times New Roman"/>
          <w:sz w:val="24"/>
          <w:szCs w:val="24"/>
        </w:rPr>
        <w:t xml:space="preserve">Part-whole relations (wheel:car, page:book) show no detectable geometric structure (Δr = +0.03, z = +0.2σ). This contrasts sharply with the other four relation types, all of which show Δr &lt; −3σ. We interpret this as reflecting a fundamental distinction between paradigmatic and syntagmatic relations.</w:t>
      </w:r>
    </w:p>
    <w:p>
      <w:pPr>
        <w:spacing w:after="200" w:before="0" w:line="276"/>
        <w:ind w:firstLine="720"/>
        <w:jc w:val="both"/>
      </w:pPr>
      <w:r>
        <w:rPr>
          <w:rFonts w:ascii="Times New Roman" w:cs="Times New Roman" w:eastAsia="Times New Roman" w:hAnsi="Times New Roman"/>
          <w:sz w:val="24"/>
          <w:szCs w:val="24"/>
        </w:rPr>
        <w:t xml:space="preserve">Paradigmatic relations (capitals, gender, comparative, functional) follow regular patterns: every country has a capital, every gendered noun has a counterpart, every adjective has a comparative form. These regularities create systematic geometric structure in embedding space—a shared low-rank subspace that all instances of the relation occupy. Syntagmatic relations (part-whole) are idiosyncratic: wheels are part of cars for entirely different reasons than pages are part of books. There is no systematic geometric pattern, only individual learned associations.</w:t>
      </w:r>
    </w:p>
    <w:p>
      <w:pPr>
        <w:spacing w:after="200" w:before="0" w:line="276"/>
        <w:ind w:firstLine="720"/>
        <w:jc w:val="both"/>
      </w:pPr>
      <w:r>
        <w:rPr>
          <w:rFonts w:ascii="Times New Roman" w:cs="Times New Roman" w:eastAsia="Times New Roman" w:hAnsi="Times New Roman"/>
          <w:sz w:val="24"/>
          <w:szCs w:val="24"/>
        </w:rPr>
        <w:t xml:space="preserve">The Δr z-score at the embedding level provides a quantitative classifier for this distinction. We propose the criterion Δr &lt; −3σ_null as the operational definition of a paradigmatic relation in embedding space. Relations failing this criterion are syntagmatic and should not be expected to exhibit the low-rank geometric properties described in the remainder of this paper.</w:t>
      </w:r>
    </w:p>
    <w:p>
      <w:pPr>
        <w:pStyle w:val="Heading2"/>
        <w:spacing w:before="300" w:after="150"/>
      </w:pPr>
      <w:r>
        <w:rPr>
          <w:rFonts w:ascii="Times New Roman" w:cs="Times New Roman" w:eastAsia="Times New Roman" w:hAnsi="Times New Roman"/>
          <w:b/>
          <w:bCs/>
          <w:sz w:val="26"/>
          <w:szCs w:val="26"/>
        </w:rPr>
        <w:t xml:space="preserve">3.4 Embedding Origin of Relational Structure</w:t>
      </w:r>
    </w:p>
    <w:p>
      <w:pPr>
        <w:spacing w:after="200" w:before="0" w:line="276"/>
        <w:ind w:firstLine="720"/>
        <w:jc w:val="both"/>
      </w:pPr>
      <w:r>
        <w:rPr>
          <w:rFonts w:ascii="Times New Roman" w:cs="Times New Roman" w:eastAsia="Times New Roman" w:hAnsi="Times New Roman"/>
          <w:sz w:val="24"/>
          <w:szCs w:val="24"/>
        </w:rPr>
        <w:t xml:space="preserve">A critical finding is that the relational subspace exists at the embedding level (layer 0) with essentially the same rank and singular value structure as at mid-network layers.</w:t>
      </w:r>
    </w:p>
    <w:p>
      <w:pPr>
        <w:spacing w:after="100" w:before="0" w:line="276"/>
        <w:jc w:val="both"/>
      </w:pPr>
      <w:r>
        <w:rPr>
          <w:rFonts w:ascii="Times New Roman" w:cs="Times New Roman" w:eastAsia="Times New Roman" w:hAnsi="Times New Roman"/>
          <w:sz w:val="24"/>
          <w:szCs w:val="24"/>
        </w:rPr>
        <w:t xml:space="preserve"/>
      </w:r>
    </w:p>
    <w:p>
      <w:pPr>
        <w:spacing w:after="100" w:before="0" w:line="276"/>
        <w:jc w:val="both"/>
      </w:pPr>
      <w:r>
        <w:rPr>
          <w:rFonts w:ascii="Times New Roman" w:cs="Times New Roman" w:eastAsia="Times New Roman" w:hAnsi="Times New Roman"/>
          <w:b/>
          <w:bCs/>
          <w:sz w:val="20"/>
          <w:szCs w:val="20"/>
        </w:rPr>
        <w:t xml:space="preserve">Table 3. Relational subspace comparison: embeddings vs. layer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c>
          <w:tcPr>
            <w:tcW w:type="dxa" w:w="18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Domain</w:t>
            </w:r>
          </w:p>
        </w:tc>
        <w:tc>
          <w:tcPr>
            <w:tcW w:type="dxa" w:w="20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Embedding rank @80%</w:t>
            </w:r>
          </w:p>
        </w:tc>
        <w:tc>
          <w:tcPr>
            <w:tcW w:type="dxa" w:w="20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Layer 14 rank @80%</w:t>
            </w:r>
          </w:p>
        </w:tc>
        <w:tc>
          <w:tcPr>
            <w:tcW w:type="dxa" w:w="18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Embedding SV-CV</w:t>
            </w:r>
          </w:p>
        </w:tc>
        <w:tc>
          <w:tcPr>
            <w:tcW w:type="dxa" w:w="176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Layer 14 SV-CV</w:t>
            </w:r>
          </w:p>
        </w:tc>
      </w:tr>
      <w:tr>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Capitals</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9</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w:t>
            </w:r>
          </w:p>
        </w:tc>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16.92</w:t>
            </w:r>
          </w:p>
        </w:tc>
        <w:tc>
          <w:tcPr>
            <w:tcW w:type="dxa" w:w="17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16.79</w:t>
            </w:r>
          </w:p>
        </w:tc>
      </w:tr>
      <w:tr>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Functional</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11</w:t>
            </w:r>
          </w:p>
        </w:tc>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~10–12</w:t>
            </w:r>
          </w:p>
        </w:tc>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15.57</w:t>
            </w:r>
          </w:p>
        </w:tc>
        <w:tc>
          <w:tcPr>
            <w:tcW w:type="dxa" w:w="17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15.86</w:t>
            </w:r>
          </w:p>
        </w:tc>
      </w:tr>
    </w:tbl>
    <w:p>
      <w:pPr>
        <w:spacing w:after="100" w:before="0" w:line="276"/>
        <w:jc w:val="both"/>
      </w:pPr>
      <w:r>
        <w:rPr>
          <w:rFonts w:ascii="Times New Roman" w:cs="Times New Roman" w:eastAsia="Times New Roman" w:hAnsi="Times New Roman"/>
          <w:sz w:val="24"/>
          <w:szCs w:val="24"/>
        </w:rPr>
        <w:t xml:space="preserve"/>
      </w:r>
    </w:p>
    <w:p>
      <w:pPr>
        <w:spacing w:after="200" w:before="0" w:line="276"/>
        <w:ind w:firstLine="720"/>
        <w:jc w:val="both"/>
      </w:pPr>
      <w:r>
        <w:rPr>
          <w:rFonts w:ascii="Times New Roman" w:cs="Times New Roman" w:eastAsia="Times New Roman" w:hAnsi="Times New Roman"/>
          <w:sz w:val="24"/>
          <w:szCs w:val="24"/>
        </w:rPr>
        <w:t xml:space="preserve">The near-identical SV-CV values (16.92 vs. 16.79 for capitals) indicate that the singular value structure of the relational operator is established at the embedding level and preserved through the network. The rank is similarly stable. This means the token embedding matrix—trained via next-token prediction—has already organized relational structure into a low-rank geometric subspace before any transformer computation occurs.</w:t>
      </w:r>
    </w:p>
    <w:p>
      <w:pPr>
        <w:pStyle w:val="Heading2"/>
        <w:spacing w:before="300" w:after="150"/>
      </w:pPr>
      <w:r>
        <w:rPr>
          <w:rFonts w:ascii="Times New Roman" w:cs="Times New Roman" w:eastAsia="Times New Roman" w:hAnsi="Times New Roman"/>
          <w:b/>
          <w:bCs/>
          <w:sz w:val="26"/>
          <w:szCs w:val="26"/>
        </w:rPr>
        <w:t xml:space="preserve">3.5 Progressive Rank-Preserving Rotation Through Network Depth</w:t>
      </w:r>
    </w:p>
    <w:p>
      <w:pPr>
        <w:spacing w:after="200" w:before="0" w:line="276"/>
        <w:ind w:firstLine="720"/>
        <w:jc w:val="both"/>
      </w:pPr>
      <w:r>
        <w:rPr>
          <w:rFonts w:ascii="Times New Roman" w:cs="Times New Roman" w:eastAsia="Times New Roman" w:hAnsi="Times New Roman"/>
          <w:sz w:val="24"/>
          <w:szCs w:val="24"/>
        </w:rPr>
        <w:t xml:space="preserve">Despite the structural similarity between embedding-level and mid-network relational subspaces, principal angle analysis reveals that the subspaces are geometrically orthogonal.</w:t>
      </w:r>
    </w:p>
    <w:p>
      <w:pPr>
        <w:spacing w:after="100" w:before="0" w:line="276"/>
        <w:jc w:val="both"/>
      </w:pPr>
      <w:r>
        <w:rPr>
          <w:rFonts w:ascii="Times New Roman" w:cs="Times New Roman" w:eastAsia="Times New Roman" w:hAnsi="Times New Roman"/>
          <w:sz w:val="24"/>
          <w:szCs w:val="24"/>
        </w:rPr>
        <w:t xml:space="preserve"/>
      </w:r>
    </w:p>
    <w:p>
      <w:pPr>
        <w:spacing w:after="100" w:before="0" w:line="276"/>
        <w:jc w:val="both"/>
      </w:pPr>
      <w:r>
        <w:rPr>
          <w:rFonts w:ascii="Times New Roman" w:cs="Times New Roman" w:eastAsia="Times New Roman" w:hAnsi="Times New Roman"/>
          <w:b/>
          <w:bCs/>
          <w:sz w:val="20"/>
          <w:szCs w:val="20"/>
        </w:rPr>
        <w:t xml:space="preserve">Table 4. Principal angle analysis: layer 0 vs. layer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c>
          <w:tcPr>
            <w:tcW w:type="dxa" w:w="22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Relation</w:t>
            </w:r>
          </w:p>
        </w:tc>
        <w:tc>
          <w:tcPr>
            <w:tcW w:type="dxa" w:w="26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Mean cosine (L0→L27)</w:t>
            </w:r>
          </w:p>
        </w:tc>
        <w:tc>
          <w:tcPr>
            <w:tcW w:type="dxa" w:w="18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Max angle</w:t>
            </w:r>
          </w:p>
        </w:tc>
        <w:tc>
          <w:tcPr>
            <w:tcW w:type="dxa" w:w="276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Consecutive layer cosine</w:t>
            </w:r>
          </w:p>
        </w:tc>
      </w:tr>
      <w:tr>
        <w:tc>
          <w:tcPr>
            <w:tcW w:type="dxa" w:w="2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Capitals</w:t>
            </w:r>
          </w:p>
        </w:tc>
        <w:tc>
          <w:tcPr>
            <w:tcW w:type="dxa" w:w="26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0.064</w:t>
            </w:r>
          </w:p>
        </w:tc>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90.0°</w:t>
            </w:r>
          </w:p>
        </w:tc>
        <w:tc>
          <w:tcPr>
            <w:tcW w:type="dxa" w:w="27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0.7–0.9</w:t>
            </w:r>
          </w:p>
        </w:tc>
      </w:tr>
      <w:tr>
        <w:tc>
          <w:tcPr>
            <w:tcW w:type="dxa" w:w="2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Gender</w:t>
            </w:r>
          </w:p>
        </w:tc>
        <w:tc>
          <w:tcPr>
            <w:tcW w:type="dxa" w:w="26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0.419</w:t>
            </w:r>
          </w:p>
        </w:tc>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89.7°</w:t>
            </w:r>
          </w:p>
        </w:tc>
        <w:tc>
          <w:tcPr>
            <w:tcW w:type="dxa" w:w="27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0.7–0.9</w:t>
            </w:r>
          </w:p>
        </w:tc>
      </w:tr>
      <w:tr>
        <w:tc>
          <w:tcPr>
            <w:tcW w:type="dxa" w:w="2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Comparative</w:t>
            </w:r>
          </w:p>
        </w:tc>
        <w:tc>
          <w:tcPr>
            <w:tcW w:type="dxa" w:w="26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0.058</w:t>
            </w:r>
          </w:p>
        </w:tc>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89.7°</w:t>
            </w:r>
          </w:p>
        </w:tc>
        <w:tc>
          <w:tcPr>
            <w:tcW w:type="dxa" w:w="27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0.7–0.9</w:t>
            </w:r>
          </w:p>
        </w:tc>
      </w:tr>
      <w:tr>
        <w:tc>
          <w:tcPr>
            <w:tcW w:type="dxa" w:w="2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Functional</w:t>
            </w:r>
          </w:p>
        </w:tc>
        <w:tc>
          <w:tcPr>
            <w:tcW w:type="dxa" w:w="26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0.064</w:t>
            </w:r>
          </w:p>
        </w:tc>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89.4°</w:t>
            </w:r>
          </w:p>
        </w:tc>
        <w:tc>
          <w:tcPr>
            <w:tcW w:type="dxa" w:w="27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0.7–0.9</w:t>
            </w:r>
          </w:p>
        </w:tc>
      </w:tr>
    </w:tbl>
    <w:p>
      <w:pPr>
        <w:spacing w:after="100" w:before="0" w:line="276"/>
        <w:jc w:val="both"/>
      </w:pPr>
      <w:r>
        <w:rPr>
          <w:rFonts w:ascii="Times New Roman" w:cs="Times New Roman" w:eastAsia="Times New Roman" w:hAnsi="Times New Roman"/>
          <w:sz w:val="24"/>
          <w:szCs w:val="24"/>
        </w:rPr>
        <w:t xml:space="preserve"/>
      </w:r>
    </w:p>
    <w:p>
      <w:pPr>
        <w:spacing w:after="200" w:before="0" w:line="276"/>
        <w:ind w:firstLine="720"/>
        <w:jc w:val="both"/>
      </w:pPr>
      <w:r>
        <w:rPr>
          <w:rFonts w:ascii="Times New Roman" w:cs="Times New Roman" w:eastAsia="Times New Roman" w:hAnsi="Times New Roman"/>
          <w:sz w:val="24"/>
          <w:szCs w:val="24"/>
        </w:rPr>
        <w:t xml:space="preserve">Mean cosine of 0.064 between layer 0 and layer 27 subspaces indicates near-complete orthogonality—the 14-dimensional relational subspace at the input shares almost no directions with the 14-dimensional subspace at the output. Yet consecutive layers are highly aligned (cosine 0.7–0.9), indicating the rotation is smooth and gradual: approximately 10–20° per layer outside the initial jump, accumulating to ~90° across the full depth.</w:t>
      </w:r>
    </w:p>
    <w:p>
      <w:pPr>
        <w:spacing w:after="200" w:before="0" w:line="276"/>
        <w:ind w:firstLine="720"/>
        <w:jc w:val="both"/>
      </w:pPr>
      <w:r>
        <w:rPr>
          <w:rFonts w:ascii="Times New Roman" w:cs="Times New Roman" w:eastAsia="Times New Roman" w:hAnsi="Times New Roman"/>
          <w:sz w:val="24"/>
          <w:szCs w:val="24"/>
        </w:rPr>
        <w:t xml:space="preserve">Gender is a notable exception, showing mean cosine 0.419 between L0 and L27—substantially higher than the other relations (0.058–0.064). Gender also shows minimal energy concentration change (91.3% → 94.3% in top-5 singular values). We interpret this as reflecting gender’s high direct predictive relevance: pronoun selection and agreement require gender information at every layer, so the embedding basis is already approximately aligned with the prediction-relevant basis. Relations with lower direct predictive relevance (capitals, comparative) undergo the full ~90° rotation.</w:t>
      </w:r>
    </w:p>
    <w:p>
      <w:pPr>
        <w:pStyle w:val="Heading2"/>
        <w:spacing w:before="300" w:after="150"/>
      </w:pPr>
      <w:r>
        <w:rPr>
          <w:rFonts w:ascii="Times New Roman" w:cs="Times New Roman" w:eastAsia="Times New Roman" w:hAnsi="Times New Roman"/>
          <w:b/>
          <w:bCs/>
          <w:sz w:val="26"/>
          <w:szCs w:val="26"/>
        </w:rPr>
        <w:t xml:space="preserve">3.6 Three Velocity Regimes: The Grassmannian Profile</w:t>
      </w:r>
    </w:p>
    <w:p>
      <w:pPr>
        <w:spacing w:after="200" w:before="0" w:line="276"/>
        <w:ind w:firstLine="720"/>
        <w:jc w:val="both"/>
      </w:pPr>
      <w:r>
        <w:rPr>
          <w:rFonts w:ascii="Times New Roman" w:cs="Times New Roman" w:eastAsia="Times New Roman" w:hAnsi="Times New Roman"/>
          <w:sz w:val="24"/>
          <w:szCs w:val="24"/>
        </w:rPr>
        <w:t xml:space="preserve">Computing the per-layer-transition Grassmannian speed reveals a universal three-regime structure across relation types.</w:t>
      </w:r>
    </w:p>
    <w:p>
      <w:pPr>
        <w:spacing w:after="100" w:before="0" w:line="276"/>
        <w:jc w:val="both"/>
      </w:pPr>
      <w:r>
        <w:rPr>
          <w:rFonts w:ascii="Times New Roman" w:cs="Times New Roman" w:eastAsia="Times New Roman" w:hAnsi="Times New Roman"/>
          <w:sz w:val="24"/>
          <w:szCs w:val="24"/>
        </w:rPr>
        <w:t xml:space="preserve"/>
      </w:r>
    </w:p>
    <w:p>
      <w:pPr>
        <w:spacing w:after="100" w:before="0" w:line="276"/>
        <w:jc w:val="both"/>
      </w:pPr>
      <w:r>
        <w:rPr>
          <w:rFonts w:ascii="Times New Roman" w:cs="Times New Roman" w:eastAsia="Times New Roman" w:hAnsi="Times New Roman"/>
          <w:b/>
          <w:bCs/>
          <w:sz w:val="20"/>
          <w:szCs w:val="20"/>
        </w:rPr>
        <w:t xml:space="preserve">Table 5. Grassmannian velocity profile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1800"/>
        <w:gridCol w:w="1960"/>
      </w:tblGrid>
      <w:tr>
        <w:tc>
          <w:tcPr>
            <w:tcW w:type="dxa" w:w="20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Relation</w:t>
            </w:r>
          </w:p>
        </w:tc>
        <w:tc>
          <w:tcPr>
            <w:tcW w:type="dxa" w:w="12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CV</w:t>
            </w:r>
          </w:p>
        </w:tc>
        <w:tc>
          <w:tcPr>
            <w:tcW w:type="dxa" w:w="24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L0→L1 speed</w:t>
            </w:r>
          </w:p>
        </w:tc>
        <w:tc>
          <w:tcPr>
            <w:tcW w:type="dxa" w:w="18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Plateau layers</w:t>
            </w:r>
          </w:p>
        </w:tc>
        <w:tc>
          <w:tcPr>
            <w:tcW w:type="dxa" w:w="196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Regime</w:t>
            </w:r>
          </w:p>
        </w:tc>
      </w:tr>
      <w:tr>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Gender</w:t>
            </w:r>
          </w:p>
        </w:tc>
        <w:tc>
          <w:tcPr>
            <w:tcW w:type="dxa" w:w="1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0.222</w:t>
            </w:r>
          </w:p>
        </w:tc>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~5.0 (cos ≈0.18)</w:t>
            </w:r>
          </w:p>
        </w:tc>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L13–L17</w:t>
            </w:r>
          </w:p>
        </w:tc>
        <w:tc>
          <w:tcPr>
            <w:tcW w:type="dxa" w:w="19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Smooth</w:t>
            </w:r>
          </w:p>
        </w:tc>
      </w:tr>
      <w:tr>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Comparative</w:t>
            </w:r>
          </w:p>
        </w:tc>
        <w:tc>
          <w:tcPr>
            <w:tcW w:type="dxa" w:w="1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0.323</w:t>
            </w:r>
          </w:p>
        </w:tc>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~5.2 (cos ≈0.18)</w:t>
            </w:r>
          </w:p>
        </w:tc>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L12–L17</w:t>
            </w:r>
          </w:p>
        </w:tc>
        <w:tc>
          <w:tcPr>
            <w:tcW w:type="dxa" w:w="19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Intermediate</w:t>
            </w:r>
          </w:p>
        </w:tc>
      </w:tr>
      <w:tr>
        <w:tc>
          <w:tcPr>
            <w:tcW w:type="dxa" w:w="20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Capitals</w:t>
            </w:r>
          </w:p>
        </w:tc>
        <w:tc>
          <w:tcPr>
            <w:tcW w:type="dxa" w:w="12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0.398</w:t>
            </w:r>
          </w:p>
        </w:tc>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~5.0 (cos ≈0.18)</w:t>
            </w:r>
          </w:p>
        </w:tc>
        <w:tc>
          <w:tcPr>
            <w:tcW w:type="dxa" w:w="18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L13–L18</w:t>
            </w:r>
          </w:p>
        </w:tc>
        <w:tc>
          <w:tcPr>
            <w:tcW w:type="dxa" w:w="19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Intermediate</w:t>
            </w:r>
          </w:p>
        </w:tc>
      </w:tr>
    </w:tbl>
    <w:p>
      <w:pPr>
        <w:spacing w:after="100" w:before="0" w:line="276"/>
        <w:jc w:val="both"/>
      </w:pPr>
      <w:r>
        <w:rPr>
          <w:rFonts w:ascii="Times New Roman" w:cs="Times New Roman" w:eastAsia="Times New Roman" w:hAnsi="Times New Roman"/>
          <w:sz w:val="24"/>
          <w:szCs w:val="24"/>
        </w:rPr>
        <w:t xml:space="preserve"/>
      </w:r>
    </w:p>
    <w:p>
      <w:pPr>
        <w:spacing w:after="200" w:before="0" w:line="276"/>
        <w:ind w:firstLine="720"/>
        <w:jc w:val="both"/>
      </w:pPr>
      <w:r>
        <w:rPr>
          <w:rFonts w:ascii="Times New Roman" w:cs="Times New Roman" w:eastAsia="Times New Roman" w:hAnsi="Times New Roman"/>
          <w:b/>
          <w:bCs/>
          <w:sz w:val="24"/>
          <w:szCs w:val="24"/>
        </w:rPr>
        <w:t xml:space="preserve">Regime 1: Format conversion (L0→L1). </w:t>
      </w:r>
      <w:r>
        <w:rPr>
          <w:rFonts w:ascii="Times New Roman" w:cs="Times New Roman" w:eastAsia="Times New Roman" w:hAnsi="Times New Roman"/>
          <w:sz w:val="24"/>
          <w:szCs w:val="24"/>
        </w:rPr>
        <w:t xml:space="preserve">A massive rotation of approximately 80° occurs in a single layer transition (cosine ≈0.18). This is universal across all three paradigmatic relation types and represents the embedding matrix’s relational format being transformed into the network’s internal computational format.</w:t>
      </w:r>
    </w:p>
    <w:p>
      <w:pPr>
        <w:spacing w:after="200" w:before="0" w:line="276"/>
        <w:ind w:firstLine="720"/>
        <w:jc w:val="both"/>
      </w:pPr>
      <w:r>
        <w:rPr>
          <w:rFonts w:ascii="Times New Roman" w:cs="Times New Roman" w:eastAsia="Times New Roman" w:hAnsi="Times New Roman"/>
          <w:b/>
          <w:bCs/>
          <w:sz w:val="24"/>
          <w:szCs w:val="24"/>
        </w:rPr>
        <w:t xml:space="preserve">Regime 2: Progressive rotation (L1–L12, L18–L27). </w:t>
      </w:r>
      <w:r>
        <w:rPr>
          <w:rFonts w:ascii="Times New Roman" w:cs="Times New Roman" w:eastAsia="Times New Roman" w:hAnsi="Times New Roman"/>
          <w:sz w:val="24"/>
          <w:szCs w:val="24"/>
        </w:rPr>
        <w:t xml:space="preserve">Moderate, relatively uniform rotation at ~5–10° per layer. This is the gradual basis change from internal computational format toward prediction-aligned format.</w:t>
      </w:r>
    </w:p>
    <w:p>
      <w:pPr>
        <w:spacing w:after="200" w:before="0" w:line="276"/>
        <w:ind w:firstLine="720"/>
        <w:jc w:val="both"/>
      </w:pPr>
      <w:r>
        <w:rPr>
          <w:rFonts w:ascii="Times New Roman" w:cs="Times New Roman" w:eastAsia="Times New Roman" w:hAnsi="Times New Roman"/>
          <w:b/>
          <w:bCs/>
          <w:sz w:val="24"/>
          <w:szCs w:val="24"/>
        </w:rPr>
        <w:t xml:space="preserve">Regime 3: Transmission plateau (L13–L18). </w:t>
      </w:r>
      <w:r>
        <w:rPr>
          <w:rFonts w:ascii="Times New Roman" w:cs="Times New Roman" w:eastAsia="Times New Roman" w:hAnsi="Times New Roman"/>
          <w:sz w:val="24"/>
          <w:szCs w:val="24"/>
        </w:rPr>
        <w:t xml:space="preserve">Five consecutive layers where the relational subspace barely rotates (consecutive cosine 0.92–0.95). Relational content passes through essentially unchanged. These layers constitute a transmission zone for relational features.</w:t>
      </w:r>
    </w:p>
    <w:p>
      <w:pPr>
        <w:pStyle w:val="Heading2"/>
        <w:spacing w:before="300" w:after="150"/>
      </w:pPr>
      <w:r>
        <w:rPr>
          <w:rFonts w:ascii="Times New Roman" w:cs="Times New Roman" w:eastAsia="Times New Roman" w:hAnsi="Times New Roman"/>
          <w:b/>
          <w:bCs/>
          <w:sz w:val="26"/>
          <w:szCs w:val="26"/>
        </w:rPr>
        <w:t xml:space="preserve">3.7 Cross-Token Binding: A Genuinely Computed Feature</w:t>
      </w:r>
    </w:p>
    <w:p>
      <w:pPr>
        <w:spacing w:after="200" w:before="0" w:line="276"/>
        <w:ind w:firstLine="720"/>
        <w:jc w:val="both"/>
      </w:pPr>
      <w:r>
        <w:rPr>
          <w:rFonts w:ascii="Times New Roman" w:cs="Times New Roman" w:eastAsia="Times New Roman" w:hAnsi="Times New Roman"/>
          <w:sz w:val="24"/>
          <w:szCs w:val="24"/>
        </w:rPr>
        <w:t xml:space="preserve">To test whether all features follow the embedding-origin pattern, we applied the Rotated Lens protocol to the soliton direction—a previously identified direction in Qwen 7B associated with syntactic persistence (classification accuracy 0.962, σ ≈ 0.63 across layers).</w:t>
      </w:r>
    </w:p>
    <w:p>
      <w:pPr>
        <w:spacing w:after="100" w:before="0" w:line="276"/>
        <w:jc w:val="both"/>
      </w:pPr>
      <w:r>
        <w:rPr>
          <w:rFonts w:ascii="Times New Roman" w:cs="Times New Roman" w:eastAsia="Times New Roman" w:hAnsi="Times New Roman"/>
          <w:sz w:val="24"/>
          <w:szCs w:val="24"/>
        </w:rPr>
        <w:t xml:space="preserve"/>
      </w:r>
    </w:p>
    <w:p>
      <w:pPr>
        <w:spacing w:after="100" w:before="0" w:line="276"/>
        <w:jc w:val="both"/>
      </w:pPr>
      <w:r>
        <w:rPr>
          <w:rFonts w:ascii="Times New Roman" w:cs="Times New Roman" w:eastAsia="Times New Roman" w:hAnsi="Times New Roman"/>
          <w:b/>
          <w:bCs/>
          <w:sz w:val="20"/>
          <w:szCs w:val="20"/>
        </w:rPr>
        <w:t xml:space="preserve">Table 6. Layer-wise classification accuracy for syntactic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Layer</w:t>
            </w:r>
          </w:p>
        </w:tc>
        <w:tc>
          <w:tcPr>
            <w:tcW w:type="dxa" w:w="24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Accuracy</w:t>
            </w:r>
          </w:p>
        </w:tc>
        <w:tc>
          <w:tcPr>
            <w:tcW w:type="dxa" w:w="456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Interpretation</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 (embeddings)</w:t>
            </w:r>
          </w:p>
        </w:tc>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0.500 (chance)</w:t>
            </w:r>
          </w:p>
        </w:tc>
        <w:tc>
          <w:tcPr>
            <w:tcW w:type="dxa" w:w="45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Feature absent</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w:t>
            </w:r>
          </w:p>
        </w:tc>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1.000</w:t>
            </w:r>
          </w:p>
        </w:tc>
        <w:tc>
          <w:tcPr>
            <w:tcW w:type="dxa" w:w="45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Feature computed</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w:t>
            </w:r>
          </w:p>
        </w:tc>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1.000</w:t>
            </w:r>
          </w:p>
        </w:tc>
        <w:tc>
          <w:tcPr>
            <w:tcW w:type="dxa" w:w="45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Feature maintained</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7</w:t>
            </w:r>
          </w:p>
        </w:tc>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1.000</w:t>
            </w:r>
          </w:p>
        </w:tc>
        <w:tc>
          <w:tcPr>
            <w:tcW w:type="dxa" w:w="45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Feature maintained</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14</w:t>
            </w:r>
          </w:p>
        </w:tc>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1.000</w:t>
            </w:r>
          </w:p>
        </w:tc>
        <w:tc>
          <w:tcPr>
            <w:tcW w:type="dxa" w:w="45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Feature maintained</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21</w:t>
            </w:r>
          </w:p>
        </w:tc>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1.000</w:t>
            </w:r>
          </w:p>
        </w:tc>
        <w:tc>
          <w:tcPr>
            <w:tcW w:type="dxa" w:w="45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Feature maintained</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27</w:t>
            </w:r>
          </w:p>
        </w:tc>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0.980</w:t>
            </w:r>
          </w:p>
        </w:tc>
        <w:tc>
          <w:tcPr>
            <w:tcW w:type="dxa" w:w="456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Feature maintained (slight decay)</w:t>
            </w:r>
          </w:p>
        </w:tc>
      </w:tr>
    </w:tbl>
    <w:p>
      <w:pPr>
        <w:spacing w:after="100" w:before="0" w:line="276"/>
        <w:jc w:val="both"/>
      </w:pPr>
      <w:r>
        <w:rPr>
          <w:rFonts w:ascii="Times New Roman" w:cs="Times New Roman" w:eastAsia="Times New Roman" w:hAnsi="Times New Roman"/>
          <w:sz w:val="24"/>
          <w:szCs w:val="24"/>
        </w:rPr>
        <w:t xml:space="preserve"/>
      </w:r>
    </w:p>
    <w:p>
      <w:pPr>
        <w:spacing w:after="200" w:before="0" w:line="276"/>
        <w:ind w:firstLine="720"/>
        <w:jc w:val="both"/>
      </w:pPr>
      <w:r>
        <w:rPr>
          <w:rFonts w:ascii="Times New Roman" w:cs="Times New Roman" w:eastAsia="Times New Roman" w:hAnsi="Times New Roman"/>
          <w:sz w:val="24"/>
          <w:szCs w:val="24"/>
        </w:rPr>
        <w:t xml:space="preserve">The result is unambiguous: syntactic persistence is at chance (0.500) in the embeddings and perfect (1.000) at layer 1. This feature does not exist in the token embeddings in any basis—it is genuinely computed by the first transformer block’s attention mechanism, which is the only operation between layers 0 and 1 capable of composing information across token positions.</w:t>
      </w:r>
    </w:p>
    <w:p>
      <w:pPr>
        <w:pStyle w:val="Heading2"/>
        <w:spacing w:before="300" w:after="150"/>
      </w:pPr>
      <w:r>
        <w:rPr>
          <w:rFonts w:ascii="Times New Roman" w:cs="Times New Roman" w:eastAsia="Times New Roman" w:hAnsi="Times New Roman"/>
          <w:b/>
          <w:bCs/>
          <w:sz w:val="26"/>
          <w:szCs w:val="26"/>
        </w:rPr>
        <w:t xml:space="preserve">3.8 The Two-Origin Taxonomy</w:t>
      </w:r>
    </w:p>
    <w:p>
      <w:pPr>
        <w:spacing w:after="200" w:before="0" w:line="276"/>
        <w:ind w:firstLine="720"/>
        <w:jc w:val="both"/>
      </w:pPr>
      <w:r>
        <w:rPr>
          <w:rFonts w:ascii="Times New Roman" w:cs="Times New Roman" w:eastAsia="Times New Roman" w:hAnsi="Times New Roman"/>
          <w:sz w:val="24"/>
          <w:szCs w:val="24"/>
        </w:rPr>
        <w:t xml:space="preserve">These results establish two categorically distinct origins for semantic features in transformer activations.</w:t>
      </w:r>
    </w:p>
    <w:p>
      <w:pPr>
        <w:spacing w:after="100" w:before="0" w:line="276"/>
        <w:jc w:val="both"/>
      </w:pPr>
      <w:r>
        <w:rPr>
          <w:rFonts w:ascii="Times New Roman" w:cs="Times New Roman" w:eastAsia="Times New Roman" w:hAnsi="Times New Roman"/>
          <w:sz w:val="24"/>
          <w:szCs w:val="24"/>
        </w:rPr>
        <w:t xml:space="preserve"/>
      </w:r>
    </w:p>
    <w:p>
      <w:pPr>
        <w:spacing w:after="100" w:before="0" w:line="276"/>
        <w:jc w:val="both"/>
      </w:pPr>
      <w:r>
        <w:rPr>
          <w:rFonts w:ascii="Times New Roman" w:cs="Times New Roman" w:eastAsia="Times New Roman" w:hAnsi="Times New Roman"/>
          <w:b/>
          <w:bCs/>
          <w:sz w:val="20"/>
          <w:szCs w:val="20"/>
        </w:rPr>
        <w:t xml:space="preserve">Table 7. The two-origin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Property</w:t>
            </w:r>
          </w:p>
        </w:tc>
        <w:tc>
          <w:tcPr>
            <w:tcW w:type="dxa" w:w="348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Inherited features</w:t>
            </w:r>
          </w:p>
        </w:tc>
        <w:tc>
          <w:tcPr>
            <w:tcW w:type="dxa" w:w="3480"/>
            <w:tcBorders>
              <w:top w:val="single" w:color="000000" w:sz="2"/>
              <w:left w:val="none" w:sz="0"/>
              <w:bottom w:val="single" w:color="000000" w:sz="2"/>
              <w:right w:val="none"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Computed features</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Example</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Capitals, gender, comparative</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Syntactic persistence</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L0 accuracy</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Significant (Δr &lt; −3σ)</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Chance (0.500)</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L1 accuracy</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Significant</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Perfect (1.000)</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Origin</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Token embedding matrix</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Layer 1 attention</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Mechanism</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Inherited, then rotated</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Computed from scratch</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Velocity profile</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All three regimes</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Single jump at L0→L1</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Rank</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6–14 (set by embeddings)</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N/A (single direction)</w:t>
            </w:r>
          </w:p>
        </w:tc>
      </w:tr>
      <w:tr>
        <w:tc>
          <w:tcPr>
            <w:tcW w:type="dxa" w:w="240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Complexity scaling</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Rank tracks relation type</w:t>
            </w:r>
          </w:p>
        </w:tc>
        <w:tc>
          <w:tcPr>
            <w:tcW w:type="dxa" w:w="3480"/>
            <w:tcBorders>
              <w:top w:val="single" w:color="000000" w:sz="1"/>
              <w:left w:val="none" w:sz="0"/>
              <w:bottom w:val="single" w:color="000000" w:sz="1"/>
              <w:right w:val="none" w:sz="0"/>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Binary</w:t>
            </w:r>
          </w:p>
        </w:tc>
      </w:tr>
    </w:tbl>
    <w:p>
      <w:pPr>
        <w:spacing w:after="100" w:before="0" w:line="276"/>
        <w:jc w:val="both"/>
      </w:pPr>
      <w:r>
        <w:rPr>
          <w:rFonts w:ascii="Times New Roman" w:cs="Times New Roman" w:eastAsia="Times New Roman" w:hAnsi="Times New Roman"/>
          <w:sz w:val="24"/>
          <w:szCs w:val="24"/>
        </w:rPr>
        <w:t xml:space="preserve"/>
      </w:r>
    </w:p>
    <w:p>
      <w:pPr>
        <w:spacing w:after="200" w:before="0" w:line="276"/>
        <w:ind w:firstLine="720"/>
        <w:jc w:val="both"/>
      </w:pPr>
      <w:r>
        <w:rPr>
          <w:rFonts w:ascii="Times New Roman" w:cs="Times New Roman" w:eastAsia="Times New Roman" w:hAnsi="Times New Roman"/>
          <w:sz w:val="24"/>
          <w:szCs w:val="24"/>
        </w:rPr>
        <w:t xml:space="preserve">Inherited features are characterized by pre-existing structure in the embedding matrix that the network progressively rotates into a prediction-aligned basis. Computed features are characterized by absence in embeddings and creation by attention-mediated cross-token composition. The single diagnostic that distinguishes them is layer 0 classification accuracy.</w:t>
      </w:r>
    </w:p>
    <w:p>
      <w:pPr>
        <w:pStyle w:val="Heading1"/>
        <w:spacing w:before="400" w:after="200"/>
      </w:pPr>
      <w:r>
        <w:rPr>
          <w:rFonts w:ascii="Times New Roman" w:cs="Times New Roman" w:eastAsia="Times New Roman" w:hAnsi="Times New Roman"/>
          <w:b/>
          <w:bCs/>
          <w:sz w:val="28"/>
          <w:szCs w:val="28"/>
        </w:rPr>
        <w:t xml:space="preserve">4. Discussion</w:t>
      </w:r>
    </w:p>
    <w:p>
      <w:pPr>
        <w:pStyle w:val="Heading2"/>
        <w:spacing w:before="300" w:after="150"/>
      </w:pPr>
      <w:r>
        <w:rPr>
          <w:rFonts w:ascii="Times New Roman" w:cs="Times New Roman" w:eastAsia="Times New Roman" w:hAnsi="Times New Roman"/>
          <w:b/>
          <w:bCs/>
          <w:sz w:val="26"/>
          <w:szCs w:val="26"/>
        </w:rPr>
        <w:t xml:space="preserve">4.1 Implications for Mechanistic Interpretability</w:t>
      </w:r>
    </w:p>
    <w:p>
      <w:pPr>
        <w:spacing w:after="200" w:before="0" w:line="276"/>
        <w:ind w:firstLine="720"/>
        <w:jc w:val="both"/>
      </w:pPr>
      <w:r>
        <w:rPr>
          <w:rFonts w:ascii="Times New Roman" w:cs="Times New Roman" w:eastAsia="Times New Roman" w:hAnsi="Times New Roman"/>
          <w:sz w:val="24"/>
          <w:szCs w:val="24"/>
        </w:rPr>
        <w:t xml:space="preserve">The progressive rotation of inherited features through the network has direct implications for mechanistic interpretability methods that attribute semantic features to specific layers.</w:t>
      </w:r>
    </w:p>
    <w:p>
      <w:pPr>
        <w:spacing w:after="200" w:before="0" w:line="276"/>
        <w:ind w:firstLine="720"/>
        <w:jc w:val="both"/>
      </w:pPr>
      <w:r>
        <w:rPr>
          <w:rFonts w:ascii="Times New Roman" w:cs="Times New Roman" w:eastAsia="Times New Roman" w:hAnsi="Times New Roman"/>
          <w:b/>
          <w:bCs/>
          <w:sz w:val="24"/>
          <w:szCs w:val="24"/>
        </w:rPr>
        <w:t xml:space="preserve">Fixed-probe vulnerability. </w:t>
      </w:r>
      <w:r>
        <w:rPr>
          <w:rFonts w:ascii="Times New Roman" w:cs="Times New Roman" w:eastAsia="Times New Roman" w:hAnsi="Times New Roman"/>
          <w:sz w:val="24"/>
          <w:szCs w:val="24"/>
        </w:rPr>
        <w:t xml:space="preserve">Any linear probe trained at layer L to detect a relational feature uses a direction that is specific to S_L—the relational subspace at that layer. Because S_L rotates by approximately 10–20° per layer, the same probe applied at L+3 will show degraded accuracy not because the feature is absent, but because the measurement direction has rotated away from the feature’s current basis. This creates spurious “feature emergence” and “feature decay” patterns in layer-wise probing studies.</w:t>
      </w:r>
    </w:p>
    <w:p>
      <w:pPr>
        <w:spacing w:after="200" w:before="0" w:line="276"/>
        <w:ind w:firstLine="720"/>
        <w:jc w:val="both"/>
      </w:pPr>
      <w:r>
        <w:rPr>
          <w:rFonts w:ascii="Times New Roman" w:cs="Times New Roman" w:eastAsia="Times New Roman" w:hAnsi="Times New Roman"/>
          <w:b/>
          <w:bCs/>
          <w:sz w:val="24"/>
          <w:szCs w:val="24"/>
        </w:rPr>
        <w:t xml:space="preserve">SAE dictionary instability. </w:t>
      </w:r>
      <w:r>
        <w:rPr>
          <w:rFonts w:ascii="Times New Roman" w:cs="Times New Roman" w:eastAsia="Times New Roman" w:hAnsi="Times New Roman"/>
          <w:sz w:val="24"/>
          <w:szCs w:val="24"/>
        </w:rPr>
        <w:t xml:space="preserve">Sparse autoencoders trained independently at different layers will discover different dictionary elements for the same relational content, because each layer’s dictionary is a sparse basis for a rotated version of the same subspace. This predicts that cross-layer dictionary alignment will be poor at the atom level but high at the span level after Procrustes transport.</w:t>
      </w:r>
    </w:p>
    <w:p>
      <w:pPr>
        <w:spacing w:after="200" w:before="0" w:line="276"/>
        <w:ind w:firstLine="720"/>
        <w:jc w:val="both"/>
      </w:pPr>
      <w:r>
        <w:rPr>
          <w:rFonts w:ascii="Times New Roman" w:cs="Times New Roman" w:eastAsia="Times New Roman" w:hAnsi="Times New Roman"/>
          <w:b/>
          <w:bCs/>
          <w:sz w:val="24"/>
          <w:szCs w:val="24"/>
        </w:rPr>
        <w:t xml:space="preserve">Head function labels. </w:t>
      </w:r>
      <w:r>
        <w:rPr>
          <w:rFonts w:ascii="Times New Roman" w:cs="Times New Roman" w:eastAsia="Times New Roman" w:hAnsi="Times New Roman"/>
          <w:sz w:val="24"/>
          <w:szCs w:val="24"/>
        </w:rPr>
        <w:t xml:space="preserve">Attention heads labeled as “relation-specific” at layer L may merely be contributing output to the current orientation of S_L, rather than performing relation-specific computation. The transported-basis selectivity test—re-expressing head outputs in the Procrustes-aligned basis—would distinguish genuine functional specialization from momentary basis alignment.</w:t>
      </w:r>
    </w:p>
    <w:p>
      <w:pPr>
        <w:spacing w:after="200" w:before="0" w:line="276"/>
        <w:ind w:firstLine="720"/>
        <w:jc w:val="both"/>
      </w:pPr>
      <w:r>
        <w:rPr>
          <w:rFonts w:ascii="Times New Roman" w:cs="Times New Roman" w:eastAsia="Times New Roman" w:hAnsi="Times New Roman"/>
          <w:b/>
          <w:bCs/>
          <w:sz w:val="24"/>
          <w:szCs w:val="24"/>
        </w:rPr>
        <w:t xml:space="preserve">What survives rotation. </w:t>
      </w:r>
      <w:r>
        <w:rPr>
          <w:rFonts w:ascii="Times New Roman" w:cs="Times New Roman" w:eastAsia="Times New Roman" w:hAnsi="Times New Roman"/>
          <w:sz w:val="24"/>
          <w:szCs w:val="24"/>
        </w:rPr>
        <w:t xml:space="preserve">Findings phrased in terms of subspace-level properties (rank, principal angles, projector-conditioned decodability) are rotation-invariant by construction. Causal interventions that operate on the subspace projector P_ℓ rather than individual directions are similarly robust. The Orthogonal Innovation Decomposition (OID)—decomposing each layer’s contribution into kinematic (predictable from the previous layer’s subspace via Procrustes transport) and innovation (new semantic content) components—provides a rotation-aware framework for layer attribution.</w:t>
      </w:r>
    </w:p>
    <w:p>
      <w:pPr>
        <w:pStyle w:val="Heading2"/>
        <w:spacing w:before="300" w:after="150"/>
      </w:pPr>
      <w:r>
        <w:rPr>
          <w:rFonts w:ascii="Times New Roman" w:cs="Times New Roman" w:eastAsia="Times New Roman" w:hAnsi="Times New Roman"/>
          <w:b/>
          <w:bCs/>
          <w:sz w:val="26"/>
          <w:szCs w:val="26"/>
        </w:rPr>
        <w:t xml:space="preserve">4.2 The Transmission Plateau and Its Implications</w:t>
      </w:r>
    </w:p>
    <w:p>
      <w:pPr>
        <w:spacing w:after="200" w:before="0" w:line="276"/>
        <w:ind w:firstLine="720"/>
        <w:jc w:val="both"/>
      </w:pPr>
      <w:r>
        <w:rPr>
          <w:rFonts w:ascii="Times New Roman" w:cs="Times New Roman" w:eastAsia="Times New Roman" w:hAnsi="Times New Roman"/>
          <w:sz w:val="24"/>
          <w:szCs w:val="24"/>
        </w:rPr>
        <w:t xml:space="preserve">The transmission plateau at layers 13–18 (consecutive cosine 0.92–0.95) is of particular practical significance. These layers contribute minimal rotation to the relational subspace, meaning relational content passes through essentially unchanged. This predicts that interpretability methods applied within the plateau will show the greatest cross-layer consistency and the least vulnerability to rotation artifacts. Conversely, the L0→1 transition—where ~80° of rotation occurs—is the zone of maximum artifact risk for any method comparing embedding-level and early-layer representations.</w:t>
      </w:r>
    </w:p>
    <w:p>
      <w:pPr>
        <w:pStyle w:val="Heading2"/>
        <w:spacing w:before="300" w:after="150"/>
      </w:pPr>
      <w:r>
        <w:rPr>
          <w:rFonts w:ascii="Times New Roman" w:cs="Times New Roman" w:eastAsia="Times New Roman" w:hAnsi="Times New Roman"/>
          <w:b/>
          <w:bCs/>
          <w:sz w:val="26"/>
          <w:szCs w:val="26"/>
        </w:rPr>
        <w:t xml:space="preserve">4.3 The Embedding Matrix as Relational Structure Source</w:t>
      </w:r>
    </w:p>
    <w:p>
      <w:pPr>
        <w:spacing w:after="200" w:before="0" w:line="276"/>
        <w:ind w:firstLine="720"/>
        <w:jc w:val="both"/>
      </w:pPr>
      <w:r>
        <w:rPr>
          <w:rFonts w:ascii="Times New Roman" w:cs="Times New Roman" w:eastAsia="Times New Roman" w:hAnsi="Times New Roman"/>
          <w:sz w:val="24"/>
          <w:szCs w:val="24"/>
        </w:rPr>
        <w:t xml:space="preserve">The finding that relational structure is set at the embedding level raises questions about the role of the 28-layer transformer in relational reasoning. If the rank and spectral profile are already determined by the embedding matrix, what are the transformer layers contributing?</w:t>
      </w:r>
    </w:p>
    <w:p>
      <w:pPr>
        <w:spacing w:after="200" w:before="0" w:line="276"/>
        <w:ind w:firstLine="720"/>
        <w:jc w:val="both"/>
      </w:pPr>
      <w:r>
        <w:rPr>
          <w:rFonts w:ascii="Times New Roman" w:cs="Times New Roman" w:eastAsia="Times New Roman" w:hAnsi="Times New Roman"/>
          <w:sz w:val="24"/>
          <w:szCs w:val="24"/>
        </w:rPr>
        <w:t xml:space="preserve">Our evidence suggests a specific answer: the layers execute a rank-preserving basis change that transforms embedding-format relational structure into prediction-format relational structure. The embedding basis is organized for input (token identity, distributional statistics). The output basis is organized for prediction (next-token probabilities). The progressive rotation transforms one into the other while preserving the relational content. This is genuine computation—but it is geometric computation (a basis change), not semantic computation (creating new relational content).</w:t>
      </w:r>
    </w:p>
    <w:p>
      <w:pPr>
        <w:spacing w:after="200" w:before="0" w:line="276"/>
        <w:ind w:firstLine="720"/>
        <w:jc w:val="both"/>
      </w:pPr>
      <w:r>
        <w:rPr>
          <w:rFonts w:ascii="Times New Roman" w:cs="Times New Roman" w:eastAsia="Times New Roman" w:hAnsi="Times New Roman"/>
          <w:sz w:val="24"/>
          <w:szCs w:val="24"/>
        </w:rPr>
        <w:t xml:space="preserve">The exception—syntactic persistence being computed from scratch at layer 1—demonstrates that not all features follow this pattern. Features requiring cross-token composition cannot exist in token-level embeddings and must be genuinely computed. The two-origin taxonomy captures this distinction.</w:t>
      </w:r>
    </w:p>
    <w:p>
      <w:pPr>
        <w:pStyle w:val="Heading2"/>
        <w:spacing w:before="300" w:after="150"/>
      </w:pPr>
      <w:r>
        <w:rPr>
          <w:rFonts w:ascii="Times New Roman" w:cs="Times New Roman" w:eastAsia="Times New Roman" w:hAnsi="Times New Roman"/>
          <w:b/>
          <w:bCs/>
          <w:sz w:val="26"/>
          <w:szCs w:val="26"/>
        </w:rPr>
        <w:t xml:space="preserve">4.4 Costumed Theorems: A Methodological Observation</w:t>
      </w:r>
    </w:p>
    <w:p>
      <w:pPr>
        <w:spacing w:after="200" w:before="0" w:line="276"/>
        <w:ind w:firstLine="720"/>
        <w:jc w:val="both"/>
      </w:pPr>
      <w:r>
        <w:rPr>
          <w:rFonts w:ascii="Times New Roman" w:cs="Times New Roman" w:eastAsia="Times New Roman" w:hAnsi="Times New Roman"/>
          <w:sz w:val="24"/>
          <w:szCs w:val="24"/>
        </w:rPr>
        <w:t xml:space="preserve">A methodological finding from this investigation concerns the reliability of multi-model theoretical consensus. Three independent sessions of multi-model research converged on the prediction that relational operators are parameterized by skew-symmetric generators in the Lie algebra so(d). Each session derived this independently via the same inferential path: norm-invariance of the mechanism → orthogonal maps → Lie algebra parameterization. The prediction was empirically falsified (SV-CV = 15–17, indicating a low-rank projection rather than an isometry).</w:t>
      </w:r>
    </w:p>
    <w:p>
      <w:pPr>
        <w:spacing w:after="200" w:before="0" w:line="276"/>
        <w:ind w:firstLine="720"/>
        <w:jc w:val="both"/>
      </w:pPr>
      <w:r>
        <w:rPr>
          <w:rFonts w:ascii="Times New Roman" w:cs="Times New Roman" w:eastAsia="Times New Roman" w:hAnsi="Times New Roman"/>
          <w:sz w:val="24"/>
          <w:szCs w:val="24"/>
        </w:rPr>
        <w:t xml:space="preserve">We term this failure mode a “costumed theorem”: a theoretical prediction that exhibits multi-source convergence and clean mathematical derivation but follows from the structure of the reasoning (the attractiveness of Lie-theoretic formalism) rather than from constraints in the data. Prior to synthetic validation, we also identified two measurement protocol errors (reversed sign prediction for Δr; non-diagnostic skew/symmetric ratio) that would have led to incorrect conclusions if applied directly to real model data. These observations underscore the value of synthetic validation on controlled data before committing GPU resources to real experiments.</w:t>
      </w:r>
    </w:p>
    <w:p>
      <w:pPr>
        <w:pStyle w:val="Heading2"/>
        <w:spacing w:before="300" w:after="150"/>
      </w:pPr>
      <w:r>
        <w:rPr>
          <w:rFonts w:ascii="Times New Roman" w:cs="Times New Roman" w:eastAsia="Times New Roman" w:hAnsi="Times New Roman"/>
          <w:b/>
          <w:bCs/>
          <w:sz w:val="26"/>
          <w:szCs w:val="26"/>
        </w:rPr>
        <w:t xml:space="preserve">4.5 Limitations</w:t>
      </w:r>
    </w:p>
    <w:p>
      <w:pPr>
        <w:spacing w:after="200" w:before="0" w:line="276"/>
        <w:ind w:firstLine="720"/>
        <w:jc w:val="both"/>
      </w:pPr>
      <w:r>
        <w:rPr>
          <w:rFonts w:ascii="Times New Roman" w:cs="Times New Roman" w:eastAsia="Times New Roman" w:hAnsi="Times New Roman"/>
          <w:sz w:val="24"/>
          <w:szCs w:val="24"/>
        </w:rPr>
        <w:t xml:space="preserve">Several limitations should be noted. First, all findings are from a single model architecture (Qwen 7B). The two-origin taxonomy and the Grassmannian velocity profile may be architecture-specific or may reflect universal properties of residual-stream transformers; cross-architecture replication on Llama, GPT, and Gemma family models is needed.</w:t>
      </w:r>
    </w:p>
    <w:p>
      <w:pPr>
        <w:spacing w:after="200" w:before="0" w:line="276"/>
        <w:ind w:firstLine="720"/>
        <w:jc w:val="both"/>
      </w:pPr>
      <w:r>
        <w:rPr>
          <w:rFonts w:ascii="Times New Roman" w:cs="Times New Roman" w:eastAsia="Times New Roman" w:hAnsi="Times New Roman"/>
          <w:sz w:val="24"/>
          <w:szCs w:val="24"/>
        </w:rPr>
        <w:t xml:space="preserve">Second, the analogy datasets used (100 quadruples across 5 types) are modest in scale. While the statistical significance is high (Δr at -10σ to -15σ), larger and more diverse datasets would strengthen the paradigmatic/syntagmatic classification and the rank-complexity correspondence.</w:t>
      </w:r>
    </w:p>
    <w:p>
      <w:pPr>
        <w:spacing w:after="200" w:before="0" w:line="276"/>
        <w:ind w:firstLine="720"/>
        <w:jc w:val="both"/>
      </w:pPr>
      <w:r>
        <w:rPr>
          <w:rFonts w:ascii="Times New Roman" w:cs="Times New Roman" w:eastAsia="Times New Roman" w:hAnsi="Times New Roman"/>
          <w:sz w:val="24"/>
          <w:szCs w:val="24"/>
        </w:rPr>
        <w:t xml:space="preserve">Third, the loss-gradient cosine check (Experiment 1 in our protocol)—testing whether analogy difference vectors are aligned with the loss gradient and thus potentially artifacts of the training objective—did not complete due to memory constraints. This leaves open the question of whether the relational subspace is actively optimized by the training loss or is a structural byproduct of distributional statistics in the training data.</w:t>
      </w:r>
    </w:p>
    <w:p>
      <w:pPr>
        <w:spacing w:after="200" w:before="0" w:line="276"/>
        <w:ind w:firstLine="720"/>
        <w:jc w:val="both"/>
      </w:pPr>
      <w:r>
        <w:rPr>
          <w:rFonts w:ascii="Times New Roman" w:cs="Times New Roman" w:eastAsia="Times New Roman" w:hAnsi="Times New Roman"/>
          <w:sz w:val="24"/>
          <w:szCs w:val="24"/>
        </w:rPr>
        <w:t xml:space="preserve">Fourth, the Procrustes transport between layers was numerically unstable at the L0→1 transition due to the extreme rotation magnitude. The Rotated Lens finding for syntactic persistence relied on native accuracy rather than backward rotation, which is robust but less informative about intermediate states.</w:t>
      </w:r>
    </w:p>
    <w:p>
      <w:pPr>
        <w:spacing w:after="200" w:before="0" w:line="276"/>
        <w:ind w:firstLine="720"/>
        <w:jc w:val="both"/>
      </w:pPr>
      <w:r>
        <w:rPr>
          <w:rFonts w:ascii="Times New Roman" w:cs="Times New Roman" w:eastAsia="Times New Roman" w:hAnsi="Times New Roman"/>
          <w:sz w:val="24"/>
          <w:szCs w:val="24"/>
        </w:rPr>
        <w:t xml:space="preserve">Fifth, our analysis focuses on the residual stream and does not decompose contributions of individual attention heads or MLP blocks to the progressive rotation. Identifying which components drive the rotation versus which contribute innovation is a natural next step enabled by the OID framework.</w:t>
      </w:r>
    </w:p>
    <w:p>
      <w:pPr>
        <w:pStyle w:val="Heading1"/>
        <w:spacing w:before="400" w:after="200"/>
      </w:pPr>
      <w:r>
        <w:rPr>
          <w:rFonts w:ascii="Times New Roman" w:cs="Times New Roman" w:eastAsia="Times New Roman" w:hAnsi="Times New Roman"/>
          <w:b/>
          <w:bCs/>
          <w:sz w:val="28"/>
          <w:szCs w:val="28"/>
        </w:rPr>
        <w:t xml:space="preserve">5. Conclusion</w:t>
      </w:r>
    </w:p>
    <w:p>
      <w:pPr>
        <w:spacing w:after="200" w:before="0" w:line="276"/>
        <w:ind w:firstLine="720"/>
        <w:jc w:val="both"/>
      </w:pPr>
      <w:r>
        <w:rPr>
          <w:rFonts w:ascii="Times New Roman" w:cs="Times New Roman" w:eastAsia="Times New Roman" w:hAnsi="Times New Roman"/>
          <w:sz w:val="24"/>
          <w:szCs w:val="24"/>
        </w:rPr>
        <w:t xml:space="preserve">We have shown that semantic features in transformer activations have two categorically distinct origins. Relational structure (paradigmatic relations between entities) is inherited from the token embedding matrix as a low-rank subspace whose dimensionality tracks relational complexity, then progressively rotated approximately 90° through the network depth while preserving rank. Cross-token binding features (requiring attention-mediated composition across positions) are genuinely computed from scratch at layer 1, absent from embeddings entirely.</w:t>
      </w:r>
    </w:p>
    <w:p>
      <w:pPr>
        <w:spacing w:after="200" w:before="0" w:line="276"/>
        <w:ind w:firstLine="720"/>
        <w:jc w:val="both"/>
      </w:pPr>
      <w:r>
        <w:rPr>
          <w:rFonts w:ascii="Times New Roman" w:cs="Times New Roman" w:eastAsia="Times New Roman" w:hAnsi="Times New Roman"/>
          <w:sz w:val="24"/>
          <w:szCs w:val="24"/>
        </w:rPr>
        <w:t xml:space="preserve">The Grassmannian velocity profile reveals three universal computation regimes: format conversion (L0→1, ~80° rotation), progressive refinement (L1–12, L18–27), and transmission plateau (L13–18). These provide a structural map for which layers are computation sites versus transmission sites for relational features.</w:t>
      </w:r>
    </w:p>
    <w:p>
      <w:pPr>
        <w:spacing w:after="200" w:before="0" w:line="276"/>
        <w:ind w:firstLine="720"/>
        <w:jc w:val="both"/>
      </w:pPr>
      <w:r>
        <w:rPr>
          <w:rFonts w:ascii="Times New Roman" w:cs="Times New Roman" w:eastAsia="Times New Roman" w:hAnsi="Times New Roman"/>
          <w:sz w:val="24"/>
          <w:szCs w:val="24"/>
        </w:rPr>
        <w:t xml:space="preserve">The paradigmatic/syntagmatic boundary—quantified by the effective rank gap under entity permutation—distinguishes relation types with geometric structure from those without, establishing a criterion for which semantic properties are amenable to geometric analysis in activation space.</w:t>
      </w:r>
    </w:p>
    <w:p>
      <w:pPr>
        <w:spacing w:after="200" w:before="0" w:line="276"/>
        <w:ind w:firstLine="720"/>
        <w:jc w:val="both"/>
      </w:pPr>
      <w:r>
        <w:rPr>
          <w:rFonts w:ascii="Times New Roman" w:cs="Times New Roman" w:eastAsia="Times New Roman" w:hAnsi="Times New Roman"/>
          <w:sz w:val="24"/>
          <w:szCs w:val="24"/>
        </w:rPr>
        <w:t xml:space="preserve">These findings have immediate methodological implications: any interpretability method using fixed-basis probes across layers is vulnerable to rotation artifacts for inherited features. Rotation-aware methods—operating on subspace projectors, transported coordinates, or innovation decompositions—are necessary to distinguish genuine computation from geometric passthrough.</w:t>
      </w:r>
    </w:p>
    <w:p>
      <w:pPr>
        <w:pStyle w:val="Heading1"/>
        <w:spacing w:before="400" w:after="200"/>
      </w:pPr>
      <w:r>
        <w:rPr>
          <w:rFonts w:ascii="Times New Roman" w:cs="Times New Roman" w:eastAsia="Times New Roman" w:hAnsi="Times New Roman"/>
          <w:b/>
          <w:bCs/>
          <w:sz w:val="28"/>
          <w:szCs w:val="28"/>
        </w:rPr>
        <w:t xml:space="preserve">References</w:t>
      </w:r>
    </w:p>
    <w:p>
      <w:pPr>
        <w:spacing w:after="120" w:before="0" w:line="276"/>
        <w:jc w:val="both"/>
      </w:pPr>
      <w:r>
        <w:rPr>
          <w:rFonts w:ascii="Times New Roman" w:cs="Times New Roman" w:eastAsia="Times New Roman" w:hAnsi="Times New Roman"/>
          <w:sz w:val="20"/>
          <w:szCs w:val="20"/>
        </w:rPr>
        <w:t xml:space="preserve">Mikolov, T., Chen, K., Corrado, G., &amp; Dean, J. (2013). Efficient estimation of word representations in vector space. </w:t>
      </w:r>
      <w:r>
        <w:rPr>
          <w:rFonts w:ascii="Times New Roman" w:cs="Times New Roman" w:eastAsia="Times New Roman" w:hAnsi="Times New Roman"/>
          <w:i/>
          <w:iCs/>
          <w:sz w:val="20"/>
          <w:szCs w:val="20"/>
        </w:rPr>
        <w:t xml:space="preserve">arXiv preprint arXiv:1301.3781.</w:t>
      </w:r>
    </w:p>
    <w:p>
      <w:pPr>
        <w:spacing w:after="120" w:before="0" w:line="276"/>
        <w:jc w:val="both"/>
      </w:pPr>
      <w:r>
        <w:rPr>
          <w:rFonts w:ascii="Times New Roman" w:cs="Times New Roman" w:eastAsia="Times New Roman" w:hAnsi="Times New Roman"/>
          <w:sz w:val="20"/>
          <w:szCs w:val="20"/>
        </w:rPr>
        <w:t xml:space="preserve">Olsson, C., Elhage, N., Nanda, N., et al. (2022). In-context learning and induction heads. </w:t>
      </w:r>
      <w:r>
        <w:rPr>
          <w:rFonts w:ascii="Times New Roman" w:cs="Times New Roman" w:eastAsia="Times New Roman" w:hAnsi="Times New Roman"/>
          <w:i/>
          <w:iCs/>
          <w:sz w:val="20"/>
          <w:szCs w:val="20"/>
        </w:rPr>
        <w:t xml:space="preserve">arXiv preprint arXiv:2209.11895.</w:t>
      </w:r>
    </w:p>
    <w:p>
      <w:pPr>
        <w:spacing w:after="120" w:before="0" w:line="276"/>
        <w:jc w:val="both"/>
      </w:pPr>
      <w:r>
        <w:rPr>
          <w:rFonts w:ascii="Times New Roman" w:cs="Times New Roman" w:eastAsia="Times New Roman" w:hAnsi="Times New Roman"/>
          <w:sz w:val="20"/>
          <w:szCs w:val="20"/>
        </w:rPr>
        <w:t xml:space="preserve">Elhage, N., Hume, T., Olsson, C., et al. (2022). Toy models of superposition. </w:t>
      </w:r>
      <w:r>
        <w:rPr>
          <w:rFonts w:ascii="Times New Roman" w:cs="Times New Roman" w:eastAsia="Times New Roman" w:hAnsi="Times New Roman"/>
          <w:i/>
          <w:iCs/>
          <w:sz w:val="20"/>
          <w:szCs w:val="20"/>
        </w:rPr>
        <w:t xml:space="preserve">arXiv preprint arXiv:2209.10652.</w:t>
      </w:r>
    </w:p>
    <w:p>
      <w:pPr>
        <w:spacing w:after="120" w:before="0" w:line="276"/>
        <w:jc w:val="both"/>
      </w:pPr>
      <w:r>
        <w:rPr>
          <w:rFonts w:ascii="Times New Roman" w:cs="Times New Roman" w:eastAsia="Times New Roman" w:hAnsi="Times New Roman"/>
          <w:sz w:val="20"/>
          <w:szCs w:val="20"/>
        </w:rPr>
        <w:t xml:space="preserve">Bills, S., Cammarata, N., Mossing, D., et al. (2023). Language models can explain neurons in language models. </w:t>
      </w:r>
      <w:r>
        <w:rPr>
          <w:rFonts w:ascii="Times New Roman" w:cs="Times New Roman" w:eastAsia="Times New Roman" w:hAnsi="Times New Roman"/>
          <w:i/>
          <w:iCs/>
          <w:sz w:val="20"/>
          <w:szCs w:val="20"/>
        </w:rPr>
        <w:t xml:space="preserve">OpenAI Blog.</w:t>
      </w:r>
    </w:p>
    <w:p>
      <w:pPr>
        <w:spacing w:after="120" w:before="0" w:line="276"/>
        <w:jc w:val="both"/>
      </w:pPr>
      <w:r>
        <w:rPr>
          <w:rFonts w:ascii="Times New Roman" w:cs="Times New Roman" w:eastAsia="Times New Roman" w:hAnsi="Times New Roman"/>
          <w:sz w:val="20"/>
          <w:szCs w:val="20"/>
        </w:rPr>
        <w:t xml:space="preserve">Cunningham, H., Ewart, A., Riggs, L., Huben, R., &amp; Sharkey, L. (2023). Sparse autoencoders find highly interpretable features in language models. </w:t>
      </w:r>
      <w:r>
        <w:rPr>
          <w:rFonts w:ascii="Times New Roman" w:cs="Times New Roman" w:eastAsia="Times New Roman" w:hAnsi="Times New Roman"/>
          <w:i/>
          <w:iCs/>
          <w:sz w:val="20"/>
          <w:szCs w:val="20"/>
        </w:rPr>
        <w:t xml:space="preserve">arXiv preprint arXiv:2309.08600.</w:t>
      </w:r>
    </w:p>
    <w:p>
      <w:pPr>
        <w:spacing w:after="120" w:before="0" w:line="276"/>
        <w:jc w:val="both"/>
      </w:pPr>
      <w:r>
        <w:rPr>
          <w:rFonts w:ascii="Times New Roman" w:cs="Times New Roman" w:eastAsia="Times New Roman" w:hAnsi="Times New Roman"/>
          <w:sz w:val="20"/>
          <w:szCs w:val="20"/>
        </w:rPr>
        <w:t xml:space="preserve">Gurnee, W., Nanda, N., Pauly, M., et al. (2023). Finding neurons in a haystack: Case studies with sparse probing. </w:t>
      </w:r>
      <w:r>
        <w:rPr>
          <w:rFonts w:ascii="Times New Roman" w:cs="Times New Roman" w:eastAsia="Times New Roman" w:hAnsi="Times New Roman"/>
          <w:i/>
          <w:iCs/>
          <w:sz w:val="20"/>
          <w:szCs w:val="20"/>
        </w:rPr>
        <w:t xml:space="preserve">arXiv preprint arXiv:2305.01610.</w:t>
      </w:r>
    </w:p>
    <w:p>
      <w:pPr>
        <w:spacing w:after="120" w:before="0" w:line="276"/>
        <w:jc w:val="both"/>
      </w:pPr>
      <w:r>
        <w:rPr>
          <w:rFonts w:ascii="Times New Roman" w:cs="Times New Roman" w:eastAsia="Times New Roman" w:hAnsi="Times New Roman"/>
          <w:sz w:val="20"/>
          <w:szCs w:val="20"/>
        </w:rPr>
        <w:t xml:space="preserve">nostalgebraist (2020). Interpreting GPT: The logit lens. </w:t>
      </w:r>
      <w:r>
        <w:rPr>
          <w:rFonts w:ascii="Times New Roman" w:cs="Times New Roman" w:eastAsia="Times New Roman" w:hAnsi="Times New Roman"/>
          <w:i/>
          <w:iCs/>
          <w:sz w:val="20"/>
          <w:szCs w:val="20"/>
        </w:rPr>
        <w:t xml:space="preserve">LessWrong.</w:t>
      </w:r>
    </w:p>
    <w:p>
      <w:pPr>
        <w:spacing w:after="120" w:before="0" w:line="276"/>
        <w:jc w:val="both"/>
      </w:pPr>
      <w:r>
        <w:rPr>
          <w:rFonts w:ascii="Times New Roman" w:cs="Times New Roman" w:eastAsia="Times New Roman" w:hAnsi="Times New Roman"/>
          <w:sz w:val="20"/>
          <w:szCs w:val="20"/>
        </w:rPr>
        <w:t xml:space="preserve">Belrose, N., Furman, H., Smith, L., et al. (2023). Eliciting latent predictions from transformers with the tuned lens. </w:t>
      </w:r>
      <w:r>
        <w:rPr>
          <w:rFonts w:ascii="Times New Roman" w:cs="Times New Roman" w:eastAsia="Times New Roman" w:hAnsi="Times New Roman"/>
          <w:i/>
          <w:iCs/>
          <w:sz w:val="20"/>
          <w:szCs w:val="20"/>
        </w:rPr>
        <w:t xml:space="preserve">arXiv preprint arXiv:2303.08112.</w:t>
      </w:r>
    </w:p>
    <w:p>
      <w:pPr>
        <w:spacing w:after="120" w:before="0" w:line="276"/>
        <w:jc w:val="both"/>
      </w:pPr>
      <w:r>
        <w:rPr>
          <w:rFonts w:ascii="Times New Roman" w:cs="Times New Roman" w:eastAsia="Times New Roman" w:hAnsi="Times New Roman"/>
          <w:sz w:val="20"/>
          <w:szCs w:val="20"/>
        </w:rPr>
        <w:t xml:space="preserve">Conmy, A., Mavor-Parker, A., Lynch, A., Heimersheim, S., &amp; Garriga-Alonso, A. (2023). Towards automated circuit discovery for mechanistic interpretability. </w:t>
      </w:r>
      <w:r>
        <w:rPr>
          <w:rFonts w:ascii="Times New Roman" w:cs="Times New Roman" w:eastAsia="Times New Roman" w:hAnsi="Times New Roman"/>
          <w:i/>
          <w:iCs/>
          <w:sz w:val="20"/>
          <w:szCs w:val="20"/>
        </w:rPr>
        <w:t xml:space="preserve">arXiv preprint arXiv:2304.14997.</w:t>
      </w:r>
    </w:p>
    <w:p>
      <w:pPr>
        <w:spacing w:after="120" w:before="0" w:line="276"/>
        <w:jc w:val="both"/>
      </w:pPr>
      <w:r>
        <w:rPr>
          <w:rFonts w:ascii="Times New Roman" w:cs="Times New Roman" w:eastAsia="Times New Roman" w:hAnsi="Times New Roman"/>
          <w:sz w:val="20"/>
          <w:szCs w:val="20"/>
        </w:rPr>
        <w:t xml:space="preserve">Wang, K., Variengien, A., Conmy, A., Shlegeris, B., &amp; Steinhardt, J. (2023). Interpretability in the wild: A circuit for indirect object identification in GPT-2 small. </w:t>
      </w:r>
      <w:r>
        <w:rPr>
          <w:rFonts w:ascii="Times New Roman" w:cs="Times New Roman" w:eastAsia="Times New Roman" w:hAnsi="Times New Roman"/>
          <w:i/>
          <w:iCs/>
          <w:sz w:val="20"/>
          <w:szCs w:val="20"/>
        </w:rPr>
        <w:t xml:space="preserve">arXiv preprint arXiv:2211.00593.</w:t>
      </w:r>
    </w:p>
    <w:p>
      <w:r>
        <w:br w:type="page"/>
      </w:r>
    </w:p>
    <w:p>
      <w:pPr>
        <w:pStyle w:val="Heading1"/>
        <w:spacing w:before="400" w:after="200"/>
      </w:pPr>
      <w:r>
        <w:rPr>
          <w:rFonts w:ascii="Times New Roman" w:cs="Times New Roman" w:eastAsia="Times New Roman" w:hAnsi="Times New Roman"/>
          <w:b/>
          <w:bCs/>
          <w:sz w:val="28"/>
          <w:szCs w:val="28"/>
        </w:rPr>
        <w:t xml:space="preserve">Appendix A: Measurement Protocol Corrections</w:t>
      </w:r>
    </w:p>
    <w:p>
      <w:pPr>
        <w:spacing w:after="200" w:before="0" w:line="276"/>
        <w:ind w:firstLine="720"/>
        <w:jc w:val="both"/>
      </w:pPr>
      <w:r>
        <w:rPr>
          <w:rFonts w:ascii="Times New Roman" w:cs="Times New Roman" w:eastAsia="Times New Roman" w:hAnsi="Times New Roman"/>
          <w:sz w:val="24"/>
          <w:szCs w:val="24"/>
        </w:rPr>
        <w:t xml:space="preserve">During the course of this investigation, synthetic validation on controlled data identified two measurement protocol errors that would have led to incorrect conclusions if applied directly to model activations.</w:t>
      </w:r>
    </w:p>
    <w:p>
      <w:pPr>
        <w:spacing w:after="200" w:before="0" w:line="276"/>
        <w:jc w:val="both"/>
      </w:pPr>
      <w:r>
        <w:rPr>
          <w:rFonts w:ascii="Times New Roman" w:cs="Times New Roman" w:eastAsia="Times New Roman" w:hAnsi="Times New Roman"/>
          <w:b/>
          <w:bCs/>
          <w:sz w:val="24"/>
          <w:szCs w:val="24"/>
        </w:rPr>
        <w:t xml:space="preserve">A.1 Effective rank gap sign correction. </w:t>
      </w:r>
      <w:r>
        <w:rPr>
          <w:rFonts w:ascii="Times New Roman" w:cs="Times New Roman" w:eastAsia="Times New Roman" w:hAnsi="Times New Roman"/>
          <w:sz w:val="24"/>
          <w:szCs w:val="24"/>
        </w:rPr>
        <w:t xml:space="preserve">Preliminary theoretical work predicted Δr &gt; 0 for genuine relational structure (higher effective rank for structured pairs). Synthetic validation on known rotation matrices revealed the correct sign is Δr &lt; 0: genuine relational structure produces concentrated differences (lower effective rank) compared to permuted controls (random differences → maximum entropy → higher rank). On synthetic rotation data, the corrected measurement achieved −85σ separation from the null.</w:t>
      </w:r>
    </w:p>
    <w:p>
      <w:pPr>
        <w:spacing w:after="200" w:before="0" w:line="276"/>
        <w:jc w:val="both"/>
      </w:pPr>
      <w:r>
        <w:rPr>
          <w:rFonts w:ascii="Times New Roman" w:cs="Times New Roman" w:eastAsia="Times New Roman" w:hAnsi="Times New Roman"/>
          <w:b/>
          <w:bCs/>
          <w:sz w:val="24"/>
          <w:szCs w:val="24"/>
        </w:rPr>
        <w:t xml:space="preserve">A.2 Rotation detection criterion. </w:t>
      </w:r>
      <w:r>
        <w:rPr>
          <w:rFonts w:ascii="Times New Roman" w:cs="Times New Roman" w:eastAsia="Times New Roman" w:hAnsi="Times New Roman"/>
          <w:sz w:val="24"/>
          <w:szCs w:val="24"/>
        </w:rPr>
        <w:t xml:space="preserve">Preliminary theoretical work proposed the skew-symmetric/symmetric Frobenius ratio ‖M−Mᵀ‖₂/‖M+Mᵀ‖₂ &gt; 1.0 as a detector for rotational (orthogonal) operators. Monte Carlo validation (20 trials, d=50) showed this ratio is ≈1.0 for all matrix types: pure rotations (1.089 ± 0.029), random linear maps (0.988 ± 0.025), and diagonal scaling (0.004 ± 0.000). This is a mathematical identity: symmetric and antisymmetric subspaces of ℝ^{d×d} have approximately equal dimension for large d. The correct discriminator is singular value CV: pure rotations show CV = 0.005 ± 0.000; random linear maps show CV = 0.635 ± 0.014.</w:t>
      </w:r>
    </w:p>
    <w:p>
      <w:pPr>
        <w:spacing w:after="200" w:before="0" w:line="276"/>
        <w:jc w:val="both"/>
      </w:pPr>
      <w:r>
        <w:rPr>
          <w:rFonts w:ascii="Times New Roman" w:cs="Times New Roman" w:eastAsia="Times New Roman" w:hAnsi="Times New Roman"/>
          <w:b/>
          <w:bCs/>
          <w:sz w:val="24"/>
          <w:szCs w:val="24"/>
        </w:rPr>
        <w:t xml:space="preserve">A.3 Costumed scalar screen upgrade. </w:t>
      </w:r>
      <w:r>
        <w:rPr>
          <w:rFonts w:ascii="Times New Roman" w:cs="Times New Roman" w:eastAsia="Times New Roman" w:hAnsi="Times New Roman"/>
          <w:sz w:val="24"/>
          <w:szCs w:val="24"/>
        </w:rPr>
        <w:t xml:space="preserve">Synthetic validation confirmed that the cosine &lt; 0.8 screen against norm/mean/PC1 has a structurally guaranteed false-negative regime for nonlinear norm dependence. A direction can have cos(d, norm) = 0.5 (passes screen) while having Spearman ρ = 0.97 between projection ranks and norm ranks (strong monotonic dependence). The Spearman rank-order screen catches the entire α ∈ [0.3, 0.79] gap regime.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Times New Roman" w:cs="Times New Roman" w:eastAsia="Times New Roman" w:hAnsi="Times New Roman"/>
        <w:color w:val="666666"/>
        <w:sz w:val="16"/>
        <w:szCs w:val="16"/>
      </w:rPr>
      <w:t xml:space="preserve">Russell, Johnsrud &amp; CHRONOS — Project Forty 2</w:t>
    </w:r>
    <w:r>
      <w:t xml:space="preserv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Inherited Structure, Computed Binding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2026-03-24T00:41:42.714Z</dcterms:created>
  <dcterms:modified xsi:type="dcterms:W3CDTF">2026-03-24T00:41:42.715Z</dcterms:modified>
</cp:coreProperties>
</file>

<file path=docProps/custom.xml><?xml version="1.0" encoding="utf-8"?>
<Properties xmlns="http://schemas.openxmlformats.org/officeDocument/2006/custom-properties" xmlns:vt="http://schemas.openxmlformats.org/officeDocument/2006/docPropsVTypes"/>
</file>