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Georgia" w:cs="Georgia" w:eastAsia="Georgia" w:hAnsi="Georgia"/>
          <w:b/>
          <w:bCs/>
          <w:sz w:val="52"/>
          <w:szCs w:val="52"/>
        </w:rPr>
        <w:t xml:space="preserve">The Substrate Problem</w:t>
      </w:r>
    </w:p>
    <w:p>
      <w:pPr>
        <w:spacing w:after="200"/>
        <w:jc w:val="center"/>
      </w:pPr>
      <w:r>
        <w:rPr>
          <w:rFonts w:ascii="Georgia" w:cs="Georgia" w:eastAsia="Georgia" w:hAnsi="Georgia"/>
          <w:sz w:val="32"/>
          <w:szCs w:val="32"/>
        </w:rPr>
        <w:t xml:space="preserve">Why Biological Computational Primitives Resist</w:t>
      </w:r>
    </w:p>
    <w:p>
      <w:pPr>
        <w:spacing w:after="600"/>
        <w:jc w:val="center"/>
      </w:pPr>
      <w:r>
        <w:rPr>
          <w:rFonts w:ascii="Georgia" w:cs="Georgia" w:eastAsia="Georgia" w:hAnsi="Georgia"/>
          <w:sz w:val="32"/>
          <w:szCs w:val="32"/>
        </w:rPr>
        <w:t xml:space="preserve">Translation to Artificial Neural Networks</w:t>
      </w:r>
    </w:p>
    <w:p>
      <w:pPr>
        <w:spacing w:after="100"/>
        <w:jc w:val="center"/>
      </w:pPr>
      <w:r>
        <w:rPr>
          <w:rFonts w:ascii="Georgia" w:cs="Georgia" w:eastAsia="Georgia" w:hAnsi="Georgia"/>
          <w:sz w:val="24"/>
          <w:szCs w:val="24"/>
        </w:rPr>
        <w:t xml:space="preserve">Kevin Russell, Jillian Johnsrud, &amp; CHRONOS</w:t>
      </w:r>
    </w:p>
    <w:p>
      <w:pPr>
        <w:spacing w:after="100"/>
        <w:jc w:val="center"/>
      </w:pPr>
      <w:r>
        <w:rPr>
          <w:rFonts w:ascii="Georgia" w:cs="Georgia" w:eastAsia="Georgia" w:hAnsi="Georgia"/>
          <w:color w:val="555555"/>
          <w:sz w:val="22"/>
          <w:szCs w:val="22"/>
        </w:rPr>
        <w:t xml:space="preserve">Project Forty 2  •  projectforty2.ai</w:t>
      </w:r>
    </w:p>
    <w:p>
      <w:pPr>
        <w:spacing w:after="800"/>
        <w:jc w:val="center"/>
      </w:pPr>
      <w:r>
        <w:rPr>
          <w:rFonts w:ascii="Georgia" w:cs="Georgia" w:eastAsia="Georgia" w:hAnsi="Georgia"/>
          <w:color w:val="555555"/>
          <w:sz w:val="22"/>
          <w:szCs w:val="22"/>
        </w:rPr>
        <w:t xml:space="preserve">March 2026</w:t>
      </w:r>
    </w:p>
    <w:p>
      <w:pPr>
        <w:spacing w:after="200"/>
        <w:jc w:val="center"/>
      </w:pPr>
      <w:r>
        <w:rPr>
          <w:rFonts w:ascii="Georgia" w:cs="Georgia" w:eastAsia="Georgia" w:hAnsi="Georgia"/>
          <w:i/>
          <w:iCs/>
          <w:color w:val="888888"/>
          <w:sz w:val="22"/>
          <w:szCs w:val="22"/>
        </w:rPr>
        <w:t xml:space="preserve">Working Paper — Pre-print</w:t>
      </w:r>
    </w:p>
    <w:p>
      <w:r>
        <w:br w:type="page"/>
      </w:r>
    </w:p>
    <w:p>
      <w:pPr>
        <w:pStyle w:val="Heading1"/>
        <w:spacing w:before="360" w:after="200"/>
      </w:pPr>
      <w:r>
        <w:rPr>
          <w:rFonts w:ascii="Georgia" w:cs="Georgia" w:eastAsia="Georgia" w:hAnsi="Georgia"/>
          <w:b/>
          <w:bCs/>
          <w:sz w:val="32"/>
          <w:szCs w:val="32"/>
        </w:rPr>
        <w:t xml:space="preserve">Abstract</w:t>
      </w:r>
    </w:p>
    <w:p>
      <w:pPr>
        <w:spacing w:after="160" w:line="320"/>
        <w:ind w:left="720" w:right="720"/>
      </w:pPr>
      <w:r>
        <w:rPr>
          <w:rFonts w:ascii="Georgia" w:cs="Georgia" w:eastAsia="Georgia" w:hAnsi="Georgia"/>
          <w:i/>
          <w:iCs/>
          <w:sz w:val="24"/>
          <w:szCs w:val="24"/>
        </w:rPr>
        <w:t xml:space="preserve">Bio-inspired artificial intelligence has pursued the transfer of biological computational primitives—predictive coding, immune memory, morphogenetic patterning—to neural network architectures for three decades, with limited success. We present results from a systematic research program that formalizes biological computation across four domains, derives quantitative efficiency predictions, tests two flagship translations empirically, and formalizes the resulting failure as three theorems. Both translations were killed: a predictive-coding layer-skip mechanism achieved 0.3% skip rate (target: 40–60%), and an immune-inspired niche routing system showed 100% collision rate in CLIP feature space. We prove a Predictive Coding Viability Bound showing that layer-skipping requires prediction head rank r &gt; (1 − θ/(sLγ)) × erank(J), which for transformers (erank/d ≈ 0.5–0.6) demands near-full-rank heads—explaining the kill quantitatively. We formalize the Kolmogorov-Compiler framework: biology and silicon are resource-bounded oracle interpreters for short programs, each making different computations cheap. We prove Interpreter Non-Domination: physics oracles compress branching structures in O(r) bits versus Ω(2ʳ) for matrix interpreters, while matrix oracles compress sequential data in O(log n) bits versus Ω(n) for physics. We prove a Topological Scaling Limit: SIREN parameter count scales as Ω(B) with independent spatial segments, not O(N³) with grid resolution, deflating the physics-coupled compression advantage from 10⁴× to ~120× at recursion depth 12. We reconcile these results with König &amp; Negrello’s (2026) proposal that cortical columns implement transformer-like attention, proving a Wiring Constraint Theorem: any computation on a graph with doubly-bounded degree k has erank ≤ k, which for cortex (k = 10⁴, d = 10⁶) guarantees erank/d ≤ 0.01—automatically satisfying the viability bound regardless of computational motif. The efficiency gap between biological and artificial computation is predominantly informational (~80%), not thermodynamic, with the synapse and CMOS transistor at parity (3.4×10⁵ kT/bit).</w:t>
      </w:r>
    </w:p>
    <w:p>
      <w:r>
        <w:br w:type="page"/>
      </w:r>
    </w:p>
    <w:p>
      <w:pPr>
        <w:pStyle w:val="Heading1"/>
        <w:spacing w:before="360" w:after="200"/>
      </w:pPr>
      <w:r>
        <w:rPr>
          <w:rFonts w:ascii="Georgia" w:cs="Georgia" w:eastAsia="Georgia" w:hAnsi="Georgia"/>
          <w:b/>
          <w:bCs/>
          <w:sz w:val="32"/>
          <w:szCs w:val="32"/>
        </w:rPr>
        <w:t xml:space="preserve">1. Introduction</w:t>
      </w:r>
    </w:p>
    <w:p>
      <w:pPr>
        <w:spacing w:after="160" w:line="320"/>
      </w:pPr>
      <w:r>
        <w:rPr>
          <w:rFonts w:ascii="Georgia" w:cs="Georgia" w:eastAsia="Georgia" w:hAnsi="Georgia"/>
          <w:sz w:val="24"/>
          <w:szCs w:val="24"/>
        </w:rPr>
        <w:t xml:space="preserve">The human brain operates on approximately 20 watts. A frontier AI training run consumes approximately 50 megawatts. The efficiency gap between biological and artificial computation is 10⁴ to 10⁶×, depending on the task and accounting method.</w:t>
      </w:r>
    </w:p>
    <w:p>
      <w:pPr>
        <w:spacing w:after="160" w:line="320"/>
      </w:pPr>
      <w:r>
        <w:rPr>
          <w:rFonts w:ascii="Georgia" w:cs="Georgia" w:eastAsia="Georgia" w:hAnsi="Georgia"/>
          <w:sz w:val="24"/>
          <w:szCs w:val="24"/>
        </w:rPr>
        <w:t xml:space="preserve">This gap has motivated three decades of bio-inspired AI research: neuromorphic computing, artificial immune systems, developmental neural networks, spiking neural networks, and predictive coding architectures. The pattern is consistent. Researchers identify a genuine biological computational primitive, formalize it as an algorithm, and propose a neural network architecture that implements it. Most fail to match conventional baselines. The few that succeed (sparse coding, attention mechanisms) are absorbed into mainstream architectures and lose their biological framing.</w:t>
      </w:r>
    </w:p>
    <w:p>
      <w:pPr>
        <w:spacing w:after="160" w:line="320"/>
      </w:pPr>
      <w:r>
        <w:rPr>
          <w:rFonts w:ascii="Georgia" w:cs="Georgia" w:eastAsia="Georgia" w:hAnsi="Georgia"/>
          <w:sz w:val="24"/>
          <w:szCs w:val="24"/>
        </w:rPr>
        <w:t xml:space="preserve">We present results from a systematic research program that formalizes biological computation across four domains—morphogenetic patterning, adaptive immunity, thermodynamics, and information compression—using CHRONOS, a multi-model AI orchestration system. Approximately 250 structured thoughts across nine sessions yielded quantitative predictions: specific energy-per-bit values, compression ratios, covering numbers, impossibility results, and formal bounds. Two flagship translations were tested empirically; both were killed. Three additional proposed architectures were killed by analytical falsification. The theoretical framework survived intact.</w:t>
      </w:r>
    </w:p>
    <w:p>
      <w:pPr>
        <w:spacing w:after="160" w:line="320"/>
      </w:pPr>
      <w:r>
        <w:rPr>
          <w:rFonts w:ascii="Georgia" w:cs="Georgia" w:eastAsia="Georgia" w:hAnsi="Georgia"/>
          <w:sz w:val="24"/>
          <w:szCs w:val="24"/>
        </w:rPr>
        <w:t xml:space="preserve">The contribution is not the negative results per se, but their formalization as four theorems that characterize when and why biological primitives fail to transfer, a formal framework—the Kolmogorov-Compiler—that explains the efficiency gap as interpreter-program co-optimization, and a reconciliation with concurrent work (König &amp; Negrello, 2026) showing that the cortical column implements transformer-like attention at low effective rank because physical wiring constraints guarantee it.</w:t>
      </w:r>
    </w:p>
    <w:p>
      <w:r>
        <w:br w:type="page"/>
      </w:r>
    </w:p>
    <w:p>
      <w:pPr>
        <w:pStyle w:val="Heading1"/>
        <w:spacing w:before="360" w:after="200"/>
      </w:pPr>
      <w:r>
        <w:rPr>
          <w:rFonts w:ascii="Georgia" w:cs="Georgia" w:eastAsia="Georgia" w:hAnsi="Georgia"/>
          <w:b/>
          <w:bCs/>
          <w:sz w:val="32"/>
          <w:szCs w:val="32"/>
        </w:rPr>
        <w:t xml:space="preserve">2. The Energy Audit</w:t>
      </w:r>
    </w:p>
    <w:p>
      <w:pPr>
        <w:pStyle w:val="Heading2"/>
        <w:spacing w:before="240" w:after="180"/>
      </w:pPr>
      <w:r>
        <w:rPr>
          <w:rFonts w:ascii="Georgia" w:cs="Georgia" w:eastAsia="Georgia" w:hAnsi="Georgia"/>
          <w:b/>
          <w:bCs/>
          <w:sz w:val="28"/>
          <w:szCs w:val="28"/>
        </w:rPr>
        <w:t xml:space="preserve">2.1 Thermodynamic Decomposition</w:t>
      </w:r>
    </w:p>
    <w:p>
      <w:pPr>
        <w:spacing w:after="160" w:line="320"/>
      </w:pPr>
      <w:r>
        <w:rPr>
          <w:rFonts w:ascii="Georgia" w:cs="Georgia" w:eastAsia="Georgia" w:hAnsi="Georgia"/>
          <w:sz w:val="24"/>
          <w:szCs w:val="24"/>
        </w:rPr>
        <w:t xml:space="preserve">We computed energy-per-bit costs for biological and artificial computational primitives, expressed as multiples of the Landauer limit (λ = kT ln 2 ≈ 2.97 × 10⁻²¹ J at 310K).</w:t>
      </w:r>
    </w:p>
    <w:p>
      <w:pPr>
        <w:spacing w:before="200" w:after="100"/>
      </w:pPr>
      <w:r>
        <w:rPr>
          <w:rFonts w:ascii="Georgia" w:cs="Georgia" w:eastAsia="Georgia" w:hAnsi="Georgia"/>
          <w:b/>
          <w:bCs/>
          <w:i/>
          <w:iCs/>
          <w:sz w:val="20"/>
          <w:szCs w:val="20"/>
        </w:rPr>
        <w:t xml:space="preserve">Table 1. Energy per bit for biological and artificial computational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System</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Energy/bit (J)</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kT multiple</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Notes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Landauer limit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2.97×10⁻²¹</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Absolute thermodynamic floor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Ribosome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1.16×10⁻¹⁹</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39</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4.3 bits/codon, ~6 ATP/codon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V(D)J recombination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2.2×10⁻¹⁸</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740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Immune classifier generation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Synapse (single)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1.0×10⁻¹⁵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3.4×10⁵</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 bits/spike, Attwell &amp; Laughlin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CMOS transistor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~10⁻¹⁵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3.4×10⁵</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Same energy scale as synapse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GPU FLOP (H100)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~5×10⁻¹⁰</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1.7×10¹¹</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Dominated by data movement</w:t>
            </w:r>
          </w:p>
        </w:tc>
      </w:tr>
    </w:tbl>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The critical finding: the synapse and the CMOS transistor operate at the same energy per bit. Both pay approximately 3.4 × 10⁵ kT for reliable signal discrimination against thermal noise. The gap decomposes as: thermodynamic ~1×, architectural ~3× (sparse, event-driven vs. dense, clocked), and informational ~150× (the brain computes fewer decision-bits for equivalent perceptual output). The gap is predominantly informational.</w:t>
      </w:r>
    </w:p>
    <w:p>
      <w:pPr>
        <w:pStyle w:val="Heading2"/>
        <w:spacing w:before="240" w:after="180"/>
      </w:pPr>
      <w:r>
        <w:rPr>
          <w:rFonts w:ascii="Georgia" w:cs="Georgia" w:eastAsia="Georgia" w:hAnsi="Georgia"/>
          <w:b/>
          <w:bCs/>
          <w:sz w:val="28"/>
          <w:szCs w:val="28"/>
        </w:rPr>
        <w:t xml:space="preserve">2.2 Compression Mechanisms</w:t>
      </w:r>
    </w:p>
    <w:p>
      <w:pPr>
        <w:spacing w:after="160" w:line="320"/>
      </w:pPr>
      <w:r>
        <w:rPr>
          <w:rFonts w:ascii="Georgia" w:cs="Georgia" w:eastAsia="Georgia" w:hAnsi="Georgia"/>
          <w:sz w:val="24"/>
          <w:szCs w:val="24"/>
        </w:rPr>
        <w:t xml:space="preserve">Five mechanisms of biological compression were quantified: physics oracle externalization (10²–10⁴× from delegating spatial computation to reality), recursive self-reference (10¹–10³× from L-systems and fractal branching), sparse representation (~15× from 3% neural activation), predictive coding (~2–10× per cortical layer), and satisficing (~3–10× from operating at ~90% accuracy below the exponential precision-energy crossover at ~7.7 bits). Physics oracle externalization dominates: the genome specifies boundary conditions (~10² bits per morphogenetic pattern); reality solves the PDE.</w:t>
      </w:r>
    </w:p>
    <w:p>
      <w:r>
        <w:br w:type="page"/>
      </w:r>
    </w:p>
    <w:p>
      <w:pPr>
        <w:pStyle w:val="Heading1"/>
        <w:spacing w:before="360" w:after="200"/>
      </w:pPr>
      <w:r>
        <w:rPr>
          <w:rFonts w:ascii="Georgia" w:cs="Georgia" w:eastAsia="Georgia" w:hAnsi="Georgia"/>
          <w:b/>
          <w:bCs/>
          <w:sz w:val="32"/>
          <w:szCs w:val="32"/>
        </w:rPr>
        <w:t xml:space="preserve">3. Translation Experiments</w:t>
      </w:r>
    </w:p>
    <w:p>
      <w:pPr>
        <w:pStyle w:val="Heading2"/>
        <w:spacing w:before="240" w:after="180"/>
      </w:pPr>
      <w:r>
        <w:rPr>
          <w:rFonts w:ascii="Georgia" w:cs="Georgia" w:eastAsia="Georgia" w:hAnsi="Georgia"/>
          <w:b/>
          <w:bCs/>
          <w:sz w:val="28"/>
          <w:szCs w:val="28"/>
        </w:rPr>
        <w:t xml:space="preserve">3.1 Experiment 1: Predictive Residual Transformer</w:t>
      </w:r>
    </w:p>
    <w:p>
      <w:pPr>
        <w:spacing w:after="160" w:line="320"/>
      </w:pPr>
      <w:r>
        <w:rPr>
          <w:rFonts w:ascii="Georgia" w:cs="Georgia" w:eastAsia="Georgia" w:hAnsi="Georgia"/>
          <w:b/>
          <w:bCs/>
          <w:sz w:val="24"/>
          <w:szCs w:val="24"/>
        </w:rPr>
        <w:t xml:space="preserve">Biological primitive: </w:t>
      </w:r>
      <w:r>
        <w:rPr>
          <w:rFonts w:ascii="Georgia" w:cs="Georgia" w:eastAsia="Georgia" w:hAnsi="Georgia"/>
          <w:sz w:val="24"/>
          <w:szCs w:val="24"/>
        </w:rPr>
        <w:t xml:space="preserve">The cortical hierarchy transmits prediction errors between layers, achieving ~9× energy advantage over dense processing.</w:t>
      </w:r>
    </w:p>
    <w:p>
      <w:pPr>
        <w:spacing w:after="160" w:line="320"/>
      </w:pPr>
      <w:r>
        <w:rPr>
          <w:rFonts w:ascii="Georgia" w:cs="Georgia" w:eastAsia="Georgia" w:hAnsi="Georgia"/>
          <w:b/>
          <w:bCs/>
          <w:sz w:val="24"/>
          <w:szCs w:val="24"/>
        </w:rPr>
        <w:t xml:space="preserve">Architecture: </w:t>
      </w:r>
      <w:r>
        <w:rPr>
          <w:rFonts w:ascii="Georgia" w:cs="Georgia" w:eastAsia="Georgia" w:hAnsi="Georgia"/>
          <w:sz w:val="24"/>
          <w:szCs w:val="24"/>
        </w:rPr>
        <w:t xml:space="preserve">Pythia-410m (24 layers, d=1024) augmented with rank-128 linear prediction heads. Layers skipped when normalized prediction residual falls below threshold θ.</w:t>
      </w:r>
    </w:p>
    <w:p>
      <w:pPr>
        <w:spacing w:after="160" w:line="320"/>
      </w:pPr>
      <w:r>
        <w:rPr>
          <w:rFonts w:ascii="Georgia" w:cs="Georgia" w:eastAsia="Georgia" w:hAnsi="Georgia"/>
          <w:b/>
          <w:bCs/>
          <w:sz w:val="24"/>
          <w:szCs w:val="24"/>
        </w:rPr>
        <w:t xml:space="preserve">Result: </w:t>
      </w:r>
      <w:r>
        <w:rPr>
          <w:rFonts w:ascii="Georgia" w:cs="Georgia" w:eastAsia="Georgia" w:hAnsi="Georgia"/>
          <w:sz w:val="24"/>
          <w:szCs w:val="24"/>
        </w:rPr>
        <w:t xml:space="preserve">Mean normalized residuals 0.85–1.15 across all 24 layers. At θ = 0.5, only 0.3% of layer-token pairs skippable, with perplexity increasing +4.2%. The collinearity screen: 18/24 layers showed cosine &gt; 0.98 between residual norm and activation norm/mean/PC1. The prediction head learns nothing beyond norm thresholding.</w:t>
      </w:r>
    </w:p>
    <w:p>
      <w:pPr>
        <w:pStyle w:val="Heading2"/>
        <w:spacing w:before="240" w:after="180"/>
      </w:pPr>
      <w:r>
        <w:rPr>
          <w:rFonts w:ascii="Georgia" w:cs="Georgia" w:eastAsia="Georgia" w:hAnsi="Georgia"/>
          <w:b/>
          <w:bCs/>
          <w:sz w:val="28"/>
          <w:szCs w:val="28"/>
        </w:rPr>
        <w:t xml:space="preserve">3.2 Experiment 2: Niche Expert Routing</w:t>
      </w:r>
    </w:p>
    <w:p>
      <w:pPr>
        <w:spacing w:after="160" w:line="320"/>
      </w:pPr>
      <w:r>
        <w:rPr>
          <w:rFonts w:ascii="Georgia" w:cs="Georgia" w:eastAsia="Georgia" w:hAnsi="Georgia"/>
          <w:b/>
          <w:bCs/>
          <w:sz w:val="24"/>
          <w:szCs w:val="24"/>
        </w:rPr>
        <w:t xml:space="preserve">Biological primitive: </w:t>
      </w:r>
      <w:r>
        <w:rPr>
          <w:rFonts w:ascii="Georgia" w:cs="Georgia" w:eastAsia="Georgia" w:hAnsi="Georgia"/>
          <w:sz w:val="24"/>
          <w:szCs w:val="24"/>
        </w:rPr>
        <w:t xml:space="preserve">Adaptive immune memory via ~10⁴–10⁵ bone marrow niches, each with an independent memory B cell. Zero backward forgetting because each is architecturally independent.</w:t>
      </w:r>
    </w:p>
    <w:p>
      <w:pPr>
        <w:spacing w:after="160" w:line="320"/>
      </w:pPr>
      <w:r>
        <w:rPr>
          <w:rFonts w:ascii="Georgia" w:cs="Georgia" w:eastAsia="Georgia" w:hAnsi="Georgia"/>
          <w:b/>
          <w:bCs/>
          <w:sz w:val="24"/>
          <w:szCs w:val="24"/>
        </w:rPr>
        <w:t xml:space="preserve">Architecture: </w:t>
      </w:r>
      <w:r>
        <w:rPr>
          <w:rFonts w:ascii="Georgia" w:cs="Georgia" w:eastAsia="Georgia" w:hAnsi="Georgia"/>
          <w:sz w:val="24"/>
          <w:szCs w:val="24"/>
        </w:rPr>
        <w:t xml:space="preserve">Pool of N LoRA adapter experts (rank 4, ~6,144 parameters each) for a frozen base model. Routing via cosine similarity to task centroids in CLIP feature space.</w:t>
      </w:r>
    </w:p>
    <w:p>
      <w:pPr>
        <w:spacing w:after="160" w:line="320"/>
      </w:pPr>
      <w:r>
        <w:rPr>
          <w:rFonts w:ascii="Georgia" w:cs="Georgia" w:eastAsia="Georgia" w:hAnsi="Georgia"/>
          <w:b/>
          <w:bCs/>
          <w:sz w:val="24"/>
          <w:szCs w:val="24"/>
        </w:rPr>
        <w:t xml:space="preserve">Result: </w:t>
      </w:r>
      <w:r>
        <w:rPr>
          <w:rFonts w:ascii="Georgia" w:cs="Georgia" w:eastAsia="Georgia" w:hAnsi="Georgia"/>
          <w:sz w:val="24"/>
          <w:szCs w:val="24"/>
        </w:rPr>
        <w:t xml:space="preserve">100% collision rate (19/19 task pairs), 0% routability, 52.1% mimicry. However, d_eff = 14 (information exists) and N=100 buffer achieved 20/20 coverage (storage/eviction works; only routing fails).</w:t>
      </w:r>
    </w:p>
    <w:p>
      <w:pPr>
        <w:pStyle w:val="Heading2"/>
        <w:spacing w:before="240" w:after="180"/>
      </w:pPr>
      <w:r>
        <w:rPr>
          <w:rFonts w:ascii="Georgia" w:cs="Georgia" w:eastAsia="Georgia" w:hAnsi="Georgia"/>
          <w:b/>
          <w:bCs/>
          <w:sz w:val="28"/>
          <w:szCs w:val="28"/>
        </w:rPr>
        <w:t xml:space="preserve">3.3 Subsequent Analytical Kills</w:t>
      </w:r>
    </w:p>
    <w:p>
      <w:pPr>
        <w:spacing w:after="160" w:line="320"/>
      </w:pPr>
      <w:r>
        <w:rPr>
          <w:rFonts w:ascii="Georgia" w:cs="Georgia" w:eastAsia="Georgia" w:hAnsi="Georgia"/>
          <w:b/>
          <w:bCs/>
          <w:sz w:val="24"/>
          <w:szCs w:val="24"/>
        </w:rPr>
        <w:t xml:space="preserve">Kill 3 (Router-Expert Inversion): </w:t>
      </w:r>
      <w:r>
        <w:rPr>
          <w:rFonts w:ascii="Georgia" w:cs="Georgia" w:eastAsia="Georgia" w:hAnsi="Georgia"/>
          <w:sz w:val="24"/>
          <w:szCs w:val="24"/>
        </w:rPr>
        <w:t xml:space="preserve">&gt;95% routing accuracy requires an MLP with ~628,000 parameters. A single LoRA expert: 6,144 parameters. The router costs 100× more than the expert.</w:t>
      </w:r>
    </w:p>
    <w:p>
      <w:pPr>
        <w:spacing w:after="160" w:line="320"/>
      </w:pPr>
      <w:r>
        <w:rPr>
          <w:rFonts w:ascii="Georgia" w:cs="Georgia" w:eastAsia="Georgia" w:hAnsi="Georgia"/>
          <w:b/>
          <w:bCs/>
          <w:sz w:val="24"/>
          <w:szCs w:val="24"/>
        </w:rPr>
        <w:t xml:space="preserve">Kill 4 (Neural ODE Costumed Rank): </w:t>
      </w:r>
      <w:r>
        <w:rPr>
          <w:rFonts w:ascii="Georgia" w:cs="Georgia" w:eastAsia="Georgia" w:hAnsi="Georgia"/>
          <w:sz w:val="24"/>
          <w:szCs w:val="24"/>
        </w:rPr>
        <w:t xml:space="preserve">Neural ODEs show rank collapse (erank from 0.3d to &lt;0.05d), but dominant singular vector has cosine &gt; 0.85 with normalized state vector. Low rank is a norm contractor from kinetic regularization, not semantic structure.</w:t>
      </w:r>
    </w:p>
    <w:p>
      <w:pPr>
        <w:spacing w:after="160" w:line="320"/>
      </w:pPr>
      <w:r>
        <w:rPr>
          <w:rFonts w:ascii="Georgia" w:cs="Georgia" w:eastAsia="Georgia" w:hAnsi="Georgia"/>
          <w:b/>
          <w:bCs/>
          <w:sz w:val="24"/>
          <w:szCs w:val="24"/>
        </w:rPr>
        <w:t xml:space="preserve">Kill 5 (Physics-Coupled Deflation): </w:t>
      </w:r>
      <w:r>
        <w:rPr>
          <w:rFonts w:ascii="Georgia" w:cs="Georgia" w:eastAsia="Georgia" w:hAnsi="Georgia"/>
          <w:sz w:val="24"/>
          <w:szCs w:val="24"/>
        </w:rPr>
        <w:t xml:space="preserve">SIREN scales with topological complexity O(2ʳ), not spatial resolution O(N³). Actual compression at r=12: ~120×, not 10,000×.</w:t>
      </w:r>
    </w:p>
    <w:p>
      <w:r>
        <w:br w:type="page"/>
      </w:r>
    </w:p>
    <w:p>
      <w:pPr>
        <w:pStyle w:val="Heading1"/>
        <w:spacing w:before="360" w:after="200"/>
      </w:pPr>
      <w:r>
        <w:rPr>
          <w:rFonts w:ascii="Georgia" w:cs="Georgia" w:eastAsia="Georgia" w:hAnsi="Georgia"/>
          <w:b/>
          <w:bCs/>
          <w:sz w:val="32"/>
          <w:szCs w:val="32"/>
        </w:rPr>
        <w:t xml:space="preserve">4. Theorem 1: Predictive Coding Viability Bound</w:t>
      </w:r>
    </w:p>
    <w:p>
      <w:pPr>
        <w:spacing w:after="160" w:line="320"/>
      </w:pPr>
      <w:r>
        <w:rPr>
          <w:rFonts w:ascii="Georgia" w:cs="Georgia" w:eastAsia="Georgia" w:hAnsi="Georgia"/>
          <w:b/>
          <w:bCs/>
          <w:i/>
          <w:iCs/>
          <w:sz w:val="24"/>
          <w:szCs w:val="24"/>
        </w:rPr>
        <w:t xml:space="preserve">Theorem 1 (Predictive Coding Viability). </w:t>
      </w:r>
      <w:r>
        <w:rPr>
          <w:rFonts w:ascii="Georgia" w:cs="Georgia" w:eastAsia="Georgia" w:hAnsi="Georgia"/>
          <w:sz w:val="24"/>
          <w:szCs w:val="24"/>
        </w:rPr>
        <w:t xml:space="preserve">Let architecture A have per-layer Jacobians {Jₗ} with effective ranks {Rₗ}, operating in dimension d. Let prediction heads have rank r. Let γ_max be the maximum error amplification factor across layers. Predictive coding can skip a fraction s of layers at PPL tolerance θ only if, for all skipped layers l:</w:t>
      </w:r>
    </w:p>
    <w:p>
      <w:pPr>
        <w:spacing w:before="120" w:after="120" w:line="300"/>
        <w:ind w:left="1440" w:right="1440"/>
        <w:jc w:val="center"/>
      </w:pPr>
      <w:r>
        <w:rPr>
          <w:rFonts w:ascii="Consolas" w:cs="Consolas" w:eastAsia="Consolas" w:hAnsi="Consolas"/>
          <w:sz w:val="22"/>
          <w:szCs w:val="22"/>
        </w:rPr>
        <w:t xml:space="preserve">r &gt; R_l × (1 − θ / (s × L × γ_max))</w:t>
      </w:r>
    </w:p>
    <w:p>
      <w:pPr>
        <w:spacing w:after="160" w:line="320"/>
      </w:pPr>
      <w:r>
        <w:rPr>
          <w:rFonts w:ascii="Georgia" w:cs="Georgia" w:eastAsia="Georgia" w:hAnsi="Georgia"/>
          <w:i/>
          <w:iCs/>
          <w:sz w:val="24"/>
          <w:szCs w:val="24"/>
        </w:rPr>
        <w:t xml:space="preserve">Proof sketch. </w:t>
      </w:r>
      <w:r>
        <w:rPr>
          <w:rFonts w:ascii="Georgia" w:cs="Georgia" w:eastAsia="Georgia" w:hAnsi="Georgia"/>
          <w:sz w:val="24"/>
          <w:szCs w:val="24"/>
        </w:rPr>
        <w:t xml:space="preserve">By the Eckart-Young-Mirsky theorem, the optimal rank-r approximation of a matrix with effective rank R leaves fractional residual energy ρ(r, J) = 1 − r/R under a flat singular spectrum. For the residual to be tolerable, the per-layer tolerance is θ/(sLγ_max), giving the stated bound.</w:t>
      </w:r>
    </w:p>
    <w:p>
      <w:pPr>
        <w:pStyle w:val="Heading2"/>
        <w:spacing w:before="240" w:after="180"/>
      </w:pPr>
      <w:r>
        <w:rPr>
          <w:rFonts w:ascii="Georgia" w:cs="Georgia" w:eastAsia="Georgia" w:hAnsi="Georgia"/>
          <w:b/>
          <w:bCs/>
          <w:sz w:val="28"/>
          <w:szCs w:val="28"/>
        </w:rPr>
        <w:t xml:space="preserve">4.1 Verification Against Experiment 1</w:t>
      </w:r>
    </w:p>
    <w:p>
      <w:pPr>
        <w:spacing w:after="160" w:line="320"/>
      </w:pPr>
      <w:r>
        <w:rPr>
          <w:rFonts w:ascii="Georgia" w:cs="Georgia" w:eastAsia="Georgia" w:hAnsi="Georgia"/>
          <w:sz w:val="24"/>
          <w:szCs w:val="24"/>
        </w:rPr>
        <w:t xml:space="preserve">For Pythia-410m: d = 1024, erank/d ≈ 0.55, so R ≈ 550. With r = 128, s = 0.25, L = 24, γ_max ≈ 3, θ = 0.01: κ_crit = 0.9994. Required rank &gt; 549.7. The rank-128 head is 4.3× below the minimum. The observed 0.3% skip rate matches the theorem's prediction of near-zero viability.</w:t>
      </w:r>
    </w:p>
    <w:p>
      <w:pPr>
        <w:pStyle w:val="Heading2"/>
        <w:spacing w:before="240" w:after="180"/>
      </w:pPr>
      <w:r>
        <w:rPr>
          <w:rFonts w:ascii="Georgia" w:cs="Georgia" w:eastAsia="Georgia" w:hAnsi="Georgia"/>
          <w:b/>
          <w:bCs/>
          <w:sz w:val="28"/>
          <w:szCs w:val="28"/>
        </w:rPr>
        <w:t xml:space="preserve">4.2 The Collinear Degeneracy</w:t>
      </w:r>
    </w:p>
    <w:p>
      <w:pPr>
        <w:spacing w:after="160" w:line="320"/>
      </w:pPr>
      <w:r>
        <w:rPr>
          <w:rFonts w:ascii="Georgia" w:cs="Georgia" w:eastAsia="Georgia" w:hAnsi="Georgia"/>
          <w:b/>
          <w:bCs/>
          <w:i/>
          <w:iCs/>
          <w:sz w:val="24"/>
          <w:szCs w:val="24"/>
        </w:rPr>
        <w:t xml:space="preserve">Theorem 2 (Norm Collapse in Underpowered Predictors). </w:t>
      </w:r>
      <w:r>
        <w:rPr>
          <w:rFonts w:ascii="Georgia" w:cs="Georgia" w:eastAsia="Georgia" w:hAnsi="Georgia"/>
          <w:sz w:val="24"/>
          <w:szCs w:val="24"/>
        </w:rPr>
        <w:t xml:space="preserve">When r ≪ R, the optimal rank-r predictor allocates most capacity to the dominant mean/norm direction. Cosine similarity between prediction residual and input PC1 satisfies cos ≥ 1 − O(r/R × (Σ − λ₁)/λ₁), approaching 1 as r/R → 0.</w:t>
      </w:r>
    </w:p>
    <w:p>
      <w:pPr>
        <w:spacing w:after="160" w:line="320"/>
      </w:pPr>
      <w:r>
        <w:rPr>
          <w:rFonts w:ascii="Georgia" w:cs="Georgia" w:eastAsia="Georgia" w:hAnsi="Georgia"/>
          <w:sz w:val="24"/>
          <w:szCs w:val="24"/>
        </w:rPr>
        <w:t xml:space="preserve">This explains the collinearity finding: 18/24 layers with cosine &gt; 0.98. This is not a failure—it is the mathematically optimal strategy when 128 dimensions are available but 550 are needed.</w:t>
      </w:r>
    </w:p>
    <w:p>
      <w:pPr>
        <w:pStyle w:val="Heading2"/>
        <w:spacing w:before="240" w:after="180"/>
      </w:pPr>
      <w:r>
        <w:rPr>
          <w:rFonts w:ascii="Georgia" w:cs="Georgia" w:eastAsia="Georgia" w:hAnsi="Georgia"/>
          <w:b/>
          <w:bCs/>
          <w:sz w:val="28"/>
          <w:szCs w:val="28"/>
        </w:rPr>
        <w:t xml:space="preserve">4.3 Architecture Transfer Predictions</w:t>
      </w:r>
    </w:p>
    <w:p>
      <w:pPr>
        <w:spacing w:after="160" w:line="320"/>
      </w:pPr>
      <w:r>
        <w:rPr>
          <w:rFonts w:ascii="Georgia" w:cs="Georgia" w:eastAsia="Georgia" w:hAnsi="Georgia"/>
          <w:sz w:val="24"/>
          <w:szCs w:val="24"/>
        </w:rPr>
        <w:t xml:space="preserve">The viability bound implies a threshold: predictive coding with rank-r heads transfers only to architectures with erank/d &lt; r / (d × κ_crit). For r = 128, d = 1024: erank/d &lt; 0.125.</w:t>
      </w:r>
    </w:p>
    <w:p>
      <w:pPr>
        <w:spacing w:before="200" w:after="100"/>
      </w:pPr>
      <w:r>
        <w:rPr>
          <w:rFonts w:ascii="Georgia" w:cs="Georgia" w:eastAsia="Georgia" w:hAnsi="Georgia"/>
          <w:b/>
          <w:bCs/>
          <w:i/>
          <w:iCs/>
          <w:sz w:val="20"/>
          <w:szCs w:val="20"/>
        </w:rPr>
        <w:t xml:space="preserve">Table 2. Effective rank ratio and predictive coding viability across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1300"/>
        <w:gridCol w:w="32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Architecture</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erank/d</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Source</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r=128 viable?</w:t>
            </w:r>
          </w:p>
        </w:tc>
        <w:tc>
          <w:tcPr>
            <w:tcW w:type="dxa" w:w="32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Transfer prediction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Transformer (Pythia)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0.47–0.60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Measured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KILLED. Skip rate 0.3%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Random Gaussian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~0.72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Computed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Baseline: unstructured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SSM (Mamba)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0.02–0.08*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Predicted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Likely yes</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Decisive test: measure erank</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Sparse MoE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0.10–0.15*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Estimated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Marginal</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Block-sparse may suffice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CNN (ResNet-50)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~0.10–0.25*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Estimated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Conditional</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Spatial locality helps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GNN (message-passing)</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~0.05–0.15*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Estimated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Likely yes</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Degree-bounded Jacobian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Neural ODE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&lt;0.05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Measured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 (costumed)</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KILLED. Norm contractor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Biological cortex</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~0.01–0.05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Estimated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Yes</w:t>
            </w:r>
          </w:p>
        </w:tc>
        <w:tc>
          <w:tcPr>
            <w:tcW w:type="dxa" w:w="3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Natively supports PC</w:t>
            </w:r>
          </w:p>
        </w:tc>
      </w:tr>
    </w:tbl>
    <w:p>
      <w:pPr>
        <w:spacing w:after="160" w:line="320"/>
      </w:pPr>
      <w:r>
        <w:rPr>
          <w:rFonts w:ascii="Georgia" w:cs="Georgia" w:eastAsia="Georgia" w:hAnsi="Georgia"/>
          <w:i/>
          <w:iCs/>
          <w:sz w:val="24"/>
          <w:szCs w:val="24"/>
        </w:rPr>
        <w:t xml:space="preserve">* Asterisked values are predictions, not measurements. </w:t>
      </w:r>
      <w:r>
        <w:rPr>
          <w:rFonts w:ascii="Georgia" w:cs="Georgia" w:eastAsia="Georgia" w:hAnsi="Georgia"/>
          <w:sz w:val="24"/>
          <w:szCs w:val="24"/>
        </w:rPr>
        <w:t xml:space="preserve">The decisive next experiment: measure erank/d on pretrained Mamba-2.8B. If erank/d ≈ 0.02–0.08, Mamba is the first architecture satisfying the viability bound.</w:t>
      </w:r>
    </w:p>
    <w:p>
      <w:r>
        <w:br w:type="page"/>
      </w:r>
    </w:p>
    <w:p>
      <w:pPr>
        <w:pStyle w:val="Heading1"/>
        <w:spacing w:before="360" w:after="200"/>
      </w:pPr>
      <w:r>
        <w:rPr>
          <w:rFonts w:ascii="Georgia" w:cs="Georgia" w:eastAsia="Georgia" w:hAnsi="Georgia"/>
          <w:b/>
          <w:bCs/>
          <w:sz w:val="32"/>
          <w:szCs w:val="32"/>
        </w:rPr>
        <w:t xml:space="preserve">5. The Kolmogorov-Compiler Framework</w:t>
      </w:r>
    </w:p>
    <w:p>
      <w:pPr>
        <w:pStyle w:val="Heading2"/>
        <w:spacing w:before="240" w:after="180"/>
      </w:pPr>
      <w:r>
        <w:rPr>
          <w:rFonts w:ascii="Georgia" w:cs="Georgia" w:eastAsia="Georgia" w:hAnsi="Georgia"/>
          <w:b/>
          <w:bCs/>
          <w:sz w:val="28"/>
          <w:szCs w:val="28"/>
        </w:rPr>
        <w:t xml:space="preserve">5.1 Formal Definitions</w:t>
      </w:r>
    </w:p>
    <w:p>
      <w:pPr>
        <w:spacing w:after="160" w:line="320"/>
      </w:pPr>
      <w:r>
        <w:rPr>
          <w:rFonts w:ascii="Georgia" w:cs="Georgia" w:eastAsia="Georgia" w:hAnsi="Georgia"/>
          <w:b/>
          <w:bCs/>
          <w:i/>
          <w:iCs/>
          <w:sz w:val="24"/>
          <w:szCs w:val="24"/>
        </w:rPr>
        <w:t xml:space="preserve">Definition 1 (Interpreter). </w:t>
      </w:r>
      <w:r>
        <w:rPr>
          <w:rFonts w:ascii="Georgia" w:cs="Georgia" w:eastAsia="Georgia" w:hAnsi="Georgia"/>
          <w:sz w:val="24"/>
          <w:szCs w:val="24"/>
        </w:rPr>
        <w:t xml:space="preserve">An interpreter is a triple I = (O, q, s) where O is a partial computable oracle, q: N → R⁺ is the query cost function (bits-equivalent), and s ∈ N is the oracle’s state dimension.</w:t>
      </w:r>
    </w:p>
    <w:p>
      <w:pPr>
        <w:spacing w:after="160" w:line="320"/>
      </w:pPr>
      <w:r>
        <w:rPr>
          <w:rFonts w:ascii="Georgia" w:cs="Georgia" w:eastAsia="Georgia" w:hAnsi="Georgia"/>
          <w:b/>
          <w:bCs/>
          <w:i/>
          <w:iCs/>
          <w:sz w:val="24"/>
          <w:szCs w:val="24"/>
        </w:rPr>
        <w:t xml:space="preserve">Definition 2 (Interpreted complexity). </w:t>
      </w:r>
      <w:r>
        <w:rPr>
          <w:rFonts w:ascii="Georgia" w:cs="Georgia" w:eastAsia="Georgia" w:hAnsi="Georgia"/>
          <w:sz w:val="24"/>
          <w:szCs w:val="24"/>
        </w:rPr>
        <w:t xml:space="preserve">K_I(x) = min over programs p of (|p| + Σ q(n_i)), where the sum runs over oracle queries.</w:t>
      </w:r>
    </w:p>
    <w:p>
      <w:pPr>
        <w:spacing w:after="160" w:line="320"/>
      </w:pPr>
      <w:r>
        <w:rPr>
          <w:rFonts w:ascii="Georgia" w:cs="Georgia" w:eastAsia="Georgia" w:hAnsi="Georgia"/>
          <w:b/>
          <w:bCs/>
          <w:i/>
          <w:iCs/>
          <w:sz w:val="24"/>
          <w:szCs w:val="24"/>
        </w:rPr>
        <w:t xml:space="preserve">Definition 3 (Compression advantage). </w:t>
      </w:r>
      <w:r>
        <w:rPr>
          <w:rFonts w:ascii="Georgia" w:cs="Georgia" w:eastAsia="Georgia" w:hAnsi="Georgia"/>
          <w:sz w:val="24"/>
          <w:szCs w:val="24"/>
        </w:rPr>
        <w:t xml:space="preserve">Δ(x, I) = K_U(x) − K_I(x), decomposing as Δ_native(x, O) − C_routing(x, I).</w:t>
      </w:r>
    </w:p>
    <w:p>
      <w:pPr>
        <w:spacing w:after="160" w:line="320"/>
      </w:pPr>
      <w:r>
        <w:rPr>
          <w:rFonts w:ascii="Georgia" w:cs="Georgia" w:eastAsia="Georgia" w:hAnsi="Georgia"/>
          <w:sz w:val="24"/>
          <w:szCs w:val="24"/>
        </w:rPr>
        <w:t xml:space="preserve">The critical formal move: interpreters are not universal Turing machines. They are resource-bounded oracles with non-trivial query costs. The invariance theorem guarantees |K_U1(x) − K_U2(x)| ≤ c for UTMs, but interpreters can separate by O(n) or O(2ʳ) because query costs scale with problem structure.</w:t>
      </w:r>
    </w:p>
    <w:p>
      <w:pPr>
        <w:pStyle w:val="Heading2"/>
        <w:spacing w:before="240" w:after="180"/>
      </w:pPr>
      <w:r>
        <w:rPr>
          <w:rFonts w:ascii="Georgia" w:cs="Georgia" w:eastAsia="Georgia" w:hAnsi="Georgia"/>
          <w:b/>
          <w:bCs/>
          <w:sz w:val="28"/>
          <w:szCs w:val="28"/>
        </w:rPr>
        <w:t xml:space="preserve">5.2 The Two Canonical Interpreters</w:t>
      </w:r>
    </w:p>
    <w:p>
      <w:pPr>
        <w:spacing w:after="160" w:line="320"/>
      </w:pPr>
      <w:r>
        <w:rPr>
          <w:rFonts w:ascii="Georgia" w:cs="Georgia" w:eastAsia="Georgia" w:hAnsi="Georgia"/>
          <w:b/>
          <w:bCs/>
          <w:sz w:val="24"/>
          <w:szCs w:val="24"/>
        </w:rPr>
        <w:t xml:space="preserve">Physics interpreter I_phys: </w:t>
      </w:r>
      <w:r>
        <w:rPr>
          <w:rFonts w:ascii="Georgia" w:cs="Georgia" w:eastAsia="Georgia" w:hAnsi="Georgia"/>
          <w:sz w:val="24"/>
          <w:szCs w:val="24"/>
        </w:rPr>
        <w:t xml:space="preserve">Queries specify PDE class, boundary conditions, and readout. Query cost q_phys = c₀ ≈ 10 bits. State dimension s_phys = ∞ (continuous spatial field persists between queries).</w:t>
      </w:r>
    </w:p>
    <w:p>
      <w:pPr>
        <w:spacing w:after="160" w:line="320"/>
      </w:pPr>
      <w:r>
        <w:rPr>
          <w:rFonts w:ascii="Georgia" w:cs="Georgia" w:eastAsia="Georgia" w:hAnsi="Georgia"/>
          <w:b/>
          <w:bCs/>
          <w:sz w:val="24"/>
          <w:szCs w:val="24"/>
        </w:rPr>
        <w:t xml:space="preserve">Matrix interpreter I_mat: </w:t>
      </w:r>
      <w:r>
        <w:rPr>
          <w:rFonts w:ascii="Georgia" w:cs="Georgia" w:eastAsia="Georgia" w:hAnsi="Georgia"/>
          <w:sz w:val="24"/>
          <w:szCs w:val="24"/>
        </w:rPr>
        <w:t xml:space="preserve">Queries specify tensor shapes, weights, and primitive type. Query cost q_mat = b × log₂(mkn). State dimension s_mat = 0 (stateless).</w:t>
      </w:r>
    </w:p>
    <w:p>
      <w:pPr>
        <w:spacing w:after="160" w:line="320"/>
      </w:pPr>
      <w:r>
        <w:rPr>
          <w:rFonts w:ascii="Georgia" w:cs="Georgia" w:eastAsia="Georgia" w:hAnsi="Georgia"/>
          <w:sz w:val="24"/>
          <w:szCs w:val="24"/>
        </w:rPr>
        <w:t xml:space="preserve">The distinction s_phys = ∞ versus s_mat = 0 is where the effective rank gap originates: a stateful oracle compresses high-dimensional spatial structure into boundary conditions; a stateless oracle must re-specify all structure at each step.</w:t>
      </w:r>
    </w:p>
    <w:p>
      <w:pPr>
        <w:pStyle w:val="Heading2"/>
        <w:spacing w:before="240" w:after="180"/>
      </w:pPr>
      <w:r>
        <w:rPr>
          <w:rFonts w:ascii="Georgia" w:cs="Georgia" w:eastAsia="Georgia" w:hAnsi="Georgia"/>
          <w:b/>
          <w:bCs/>
          <w:sz w:val="28"/>
          <w:szCs w:val="28"/>
        </w:rPr>
        <w:t xml:space="preserve">5.3 Interpreter Non-Domination</w:t>
      </w:r>
    </w:p>
    <w:p>
      <w:pPr>
        <w:spacing w:after="160" w:line="320"/>
      </w:pPr>
      <w:r>
        <w:rPr>
          <w:rFonts w:ascii="Georgia" w:cs="Georgia" w:eastAsia="Georgia" w:hAnsi="Georgia"/>
          <w:b/>
          <w:bCs/>
          <w:i/>
          <w:iCs/>
          <w:sz w:val="24"/>
          <w:szCs w:val="24"/>
        </w:rPr>
        <w:t xml:space="preserve">Theorem 3 (Costed Interpreter Non-Domination). </w:t>
      </w:r>
      <w:r>
        <w:rPr>
          <w:rFonts w:ascii="Georgia" w:cs="Georgia" w:eastAsia="Georgia" w:hAnsi="Georgia"/>
          <w:sz w:val="24"/>
          <w:szCs w:val="24"/>
        </w:rPr>
        <w:t xml:space="preserve">Let I_phys and I_mat be admissible costed interpreter families. For branching families F_r generated by a fixed local physical law with recursion depth r, K_phys(F_r) = O(r) and K_mat(F_r) = Ω(2ʳ). For symbolic sequential families G_n generated by a fixed matrix-native rule, K_mat(G_n) = O(log n) and K_phys(G_n) = Ω(n). Therefore neither interpreter dominates across all families.</w:t>
      </w:r>
    </w:p>
    <w:p>
      <w:pPr>
        <w:spacing w:after="160" w:line="320"/>
      </w:pPr>
      <w:r>
        <w:rPr>
          <w:rFonts w:ascii="Georgia" w:cs="Georgia" w:eastAsia="Georgia" w:hAnsi="Georgia"/>
          <w:b/>
          <w:bCs/>
          <w:sz w:val="24"/>
          <w:szCs w:val="24"/>
        </w:rPr>
        <w:t xml:space="preserve">Falsification criterion: </w:t>
      </w:r>
      <w:r>
        <w:rPr>
          <w:rFonts w:ascii="Georgia" w:cs="Georgia" w:eastAsia="Georgia" w:hAnsi="Georgia"/>
          <w:sz w:val="24"/>
          <w:szCs w:val="24"/>
        </w:rPr>
        <w:t xml:space="preserve">Produce a matrix-only representation of a depth-15 vascular tree with &lt;100,000 parameters at 35 dB PSNR, or a physics-only representation of a length-10⁴ autoregressive sequence with &lt;100 parameters.</w:t>
      </w:r>
    </w:p>
    <w:p>
      <w:r>
        <w:br w:type="page"/>
      </w:r>
    </w:p>
    <w:p>
      <w:pPr>
        <w:pStyle w:val="Heading1"/>
        <w:spacing w:before="360" w:after="200"/>
      </w:pPr>
      <w:r>
        <w:rPr>
          <w:rFonts w:ascii="Georgia" w:cs="Georgia" w:eastAsia="Georgia" w:hAnsi="Georgia"/>
          <w:b/>
          <w:bCs/>
          <w:sz w:val="32"/>
          <w:szCs w:val="32"/>
        </w:rPr>
        <w:t xml:space="preserve">6. Theorem 3: Topological Scaling Limit</w:t>
      </w:r>
    </w:p>
    <w:p>
      <w:pPr>
        <w:spacing w:after="160" w:line="320"/>
      </w:pPr>
      <w:r>
        <w:rPr>
          <w:rFonts w:ascii="Georgia" w:cs="Georgia" w:eastAsia="Georgia" w:hAnsi="Georgia"/>
          <w:b/>
          <w:bCs/>
          <w:i/>
          <w:iCs/>
          <w:sz w:val="24"/>
          <w:szCs w:val="24"/>
        </w:rPr>
        <w:t xml:space="preserve">Theorem 4 (Topological Scaling). </w:t>
      </w:r>
      <w:r>
        <w:rPr>
          <w:rFonts w:ascii="Georgia" w:cs="Georgia" w:eastAsia="Georgia" w:hAnsi="Georgia"/>
          <w:sz w:val="24"/>
          <w:szCs w:val="24"/>
        </w:rPr>
        <w:t xml:space="preserve">For any continuous INR F_θ: R³ → R approximating the SDF of a branching structure with B independent, non-collinear spatial segments to L₂ residual &lt; ε, |θ| = Ω(B). Each segment costs k ≈ 150 parameters. For a binary tree of depth r: |θ| ≥ 150(2ʳ⁺¹ − 1).</w:t>
      </w:r>
    </w:p>
    <w:p>
      <w:pPr>
        <w:spacing w:before="200" w:after="100"/>
      </w:pPr>
      <w:r>
        <w:rPr>
          <w:rFonts w:ascii="Georgia" w:cs="Georgia" w:eastAsia="Georgia" w:hAnsi="Georgia"/>
          <w:b/>
          <w:bCs/>
          <w:i/>
          <w:iCs/>
          <w:sz w:val="20"/>
          <w:szCs w:val="20"/>
        </w:rPr>
        <w:t xml:space="preserve">Table 3. Compression advantage by recursion depth and biological structure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400"/>
        <w:gridCol w:w="1500"/>
        <w:gridCol w:w="286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Structure</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Depth r</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Segments B</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Δ(r)</w:t>
            </w:r>
          </w:p>
        </w:tc>
        <w:tc>
          <w:tcPr>
            <w:tcW w:type="dxa" w:w="28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Interpretation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Neuronal arbor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63–511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0.6–7×</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SIREN competitive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 crossover (r*)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Physics coupling worthwhile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100× crossover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11.6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~6,200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100×</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Clear physics advantage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Mammalian vasculature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12–15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8K–65K</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120–790×</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Physics coupling dominates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Bronchial tree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~16M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~65,000×</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Untrainable as INR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10⁴× crossover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18.4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~524K</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10,000×</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Rare in biological practice</w:t>
            </w:r>
          </w:p>
        </w:tc>
      </w:tr>
    </w:tbl>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The prior claim of 10⁴× compression was deflated because it anchored to spatial resolution (O(N³)) instead of topological complexity (O(2ʳ)). The 10⁴× claim was itself a costumed scalar. Physics coupling is genuine but narrow—advantageous only for recursion depth r &gt; 8.5.</w:t>
      </w:r>
    </w:p>
    <w:p>
      <w:r>
        <w:br w:type="page"/>
      </w:r>
    </w:p>
    <w:p>
      <w:pPr>
        <w:pStyle w:val="Heading1"/>
        <w:spacing w:before="360" w:after="200"/>
      </w:pPr>
      <w:r>
        <w:rPr>
          <w:rFonts w:ascii="Georgia" w:cs="Georgia" w:eastAsia="Georgia" w:hAnsi="Georgia"/>
          <w:b/>
          <w:bCs/>
          <w:sz w:val="32"/>
          <w:szCs w:val="32"/>
        </w:rPr>
        <w:t xml:space="preserve">7. The Five Substrate Mismatches</w:t>
      </w:r>
    </w:p>
    <w:p>
      <w:pPr>
        <w:spacing w:after="160" w:line="320"/>
      </w:pPr>
      <w:r>
        <w:rPr>
          <w:rFonts w:ascii="Georgia" w:cs="Georgia" w:eastAsia="Georgia" w:hAnsi="Georgia"/>
          <w:sz w:val="24"/>
          <w:szCs w:val="24"/>
        </w:rPr>
        <w:t xml:space="preserve">The experimental kills and analytical results converge on five independent substrate mismatches, each a necessary condition for biological primitive transfer that transformers violate.</w:t>
      </w:r>
    </w:p>
    <w:p>
      <w:pPr>
        <w:spacing w:after="160" w:line="320"/>
      </w:pPr>
      <w:r>
        <w:rPr>
          <w:rFonts w:ascii="Georgia" w:cs="Georgia" w:eastAsia="Georgia" w:hAnsi="Georgia"/>
          <w:b/>
          <w:bCs/>
          <w:sz w:val="24"/>
          <w:szCs w:val="24"/>
        </w:rPr>
        <w:t xml:space="preserve">Mismatch 1 (Effective Rank): </w:t>
      </w:r>
      <w:r>
        <w:rPr>
          <w:rFonts w:ascii="Georgia" w:cs="Georgia" w:eastAsia="Georgia" w:hAnsi="Georgia"/>
          <w:sz w:val="24"/>
          <w:szCs w:val="24"/>
        </w:rPr>
        <w:t xml:space="preserve">Biological cortex at erank/d ≈ 0.01–0.05; transformers at 0.47–0.60. The viability bound requires erank/d &lt; 0.125. Evidence: Experiment 1, Jacobian SVD.</w:t>
      </w:r>
    </w:p>
    <w:p>
      <w:pPr>
        <w:spacing w:after="160" w:line="320"/>
      </w:pPr>
      <w:r>
        <w:rPr>
          <w:rFonts w:ascii="Georgia" w:cs="Georgia" w:eastAsia="Georgia" w:hAnsi="Georgia"/>
          <w:b/>
          <w:bCs/>
          <w:sz w:val="24"/>
          <w:szCs w:val="24"/>
        </w:rPr>
        <w:t xml:space="preserve">Mismatch 2 (Routing Specificity): </w:t>
      </w:r>
      <w:r>
        <w:rPr>
          <w:rFonts w:ascii="Georgia" w:cs="Georgia" w:eastAsia="Georgia" w:hAnsi="Georgia"/>
          <w:sz w:val="24"/>
          <w:szCs w:val="24"/>
        </w:rPr>
        <w:t xml:space="preserve">Immune B cell receptors are learned nonlinear gates. Centroid routing in CLIP space is the weakest approximation. Routing cost exceeds expert cost by 100×. Evidence: Experiment 2, Kill 3.</w:t>
      </w:r>
    </w:p>
    <w:p>
      <w:pPr>
        <w:spacing w:after="160" w:line="320"/>
      </w:pPr>
      <w:r>
        <w:rPr>
          <w:rFonts w:ascii="Georgia" w:cs="Georgia" w:eastAsia="Georgia" w:hAnsi="Georgia"/>
          <w:b/>
          <w:bCs/>
          <w:sz w:val="24"/>
          <w:szCs w:val="24"/>
        </w:rPr>
        <w:t xml:space="preserve">Mismatch 3 (Physics Co-Processor): </w:t>
      </w:r>
      <w:r>
        <w:rPr>
          <w:rFonts w:ascii="Georgia" w:cs="Georgia" w:eastAsia="Georgia" w:hAnsi="Georgia"/>
          <w:sz w:val="24"/>
          <w:szCs w:val="24"/>
        </w:rPr>
        <w:t xml:space="preserve">Genome specifies boundary conditions; reality solves PDEs. Neural networks encode both program and interpreter in weights. Compression ~120× at r=12. Evidence: Theorem 4, Kill 5.</w:t>
      </w:r>
    </w:p>
    <w:p>
      <w:pPr>
        <w:spacing w:after="160" w:line="320"/>
      </w:pPr>
      <w:r>
        <w:rPr>
          <w:rFonts w:ascii="Georgia" w:cs="Georgia" w:eastAsia="Georgia" w:hAnsi="Georgia"/>
          <w:b/>
          <w:bCs/>
          <w:sz w:val="24"/>
          <w:szCs w:val="24"/>
        </w:rPr>
        <w:t xml:space="preserve">Mismatch 4 (Event-Driven): </w:t>
      </w:r>
      <w:r>
        <w:rPr>
          <w:rFonts w:ascii="Georgia" w:cs="Georgia" w:eastAsia="Georgia" w:hAnsi="Georgia"/>
          <w:sz w:val="24"/>
          <w:szCs w:val="24"/>
        </w:rPr>
        <w:t xml:space="preserve">97% of neurons silent at any time; GPUs compute every element every cycle. Hardware-level, untestable on GPUs. Theoretical advantage: ~10⁵× rate-distortion on natural video.</w:t>
      </w:r>
    </w:p>
    <w:p>
      <w:pPr>
        <w:spacing w:after="160" w:line="320"/>
      </w:pPr>
      <w:r>
        <w:rPr>
          <w:rFonts w:ascii="Georgia" w:cs="Georgia" w:eastAsia="Georgia" w:hAnsi="Georgia"/>
          <w:b/>
          <w:bCs/>
          <w:sz w:val="24"/>
          <w:szCs w:val="24"/>
        </w:rPr>
        <w:t xml:space="preserve">Mismatch 5 (Continuous Time): </w:t>
      </w:r>
      <w:r>
        <w:rPr>
          <w:rFonts w:ascii="Georgia" w:cs="Georgia" w:eastAsia="Georgia" w:hAnsi="Georgia"/>
          <w:sz w:val="24"/>
          <w:szCs w:val="24"/>
        </w:rPr>
        <w:t xml:space="preserve">Biology operates via physical relaxation; transformers compute fixed L layers. Neural ODE low rank is costumed (Kill 4). Matrix multiplication diffuses variance across all d dimensions in O(1) depth.</w:t>
      </w:r>
    </w:p>
    <w:p>
      <w:r>
        <w:br w:type="page"/>
      </w:r>
    </w:p>
    <w:p>
      <w:pPr>
        <w:pStyle w:val="Heading1"/>
        <w:spacing w:before="360" w:after="200"/>
      </w:pPr>
      <w:r>
        <w:rPr>
          <w:rFonts w:ascii="Georgia" w:cs="Georgia" w:eastAsia="Georgia" w:hAnsi="Georgia"/>
          <w:b/>
          <w:bCs/>
          <w:sz w:val="32"/>
          <w:szCs w:val="32"/>
        </w:rPr>
        <w:t xml:space="preserve">8. Reconciliation: The Wiring Constraint Theorem</w:t>
      </w:r>
    </w:p>
    <w:p>
      <w:pPr>
        <w:spacing w:after="160" w:line="320"/>
      </w:pPr>
      <w:r>
        <w:rPr>
          <w:rFonts w:ascii="Georgia" w:cs="Georgia" w:eastAsia="Georgia" w:hAnsi="Georgia"/>
          <w:sz w:val="24"/>
          <w:szCs w:val="24"/>
        </w:rPr>
        <w:t xml:space="preserve">A concurrent paper by König and Negrello (arXiv 2603.15339, March 2026) proposes that the cortical column is a functional analogue of a transformer block, with laminar pathways implementing queries, keys, and values, and the column’s local input–output transformation playing the role of the feed-forward sublayer. At first glance, this appears to contradict our thesis: if cortex implements transformer-like attention, why do biological primitives reject transformer substrates?</w:t>
      </w:r>
    </w:p>
    <w:p>
      <w:pPr>
        <w:spacing w:after="160" w:line="320"/>
      </w:pPr>
      <w:r>
        <w:rPr>
          <w:rFonts w:ascii="Georgia" w:cs="Georgia" w:eastAsia="Georgia" w:hAnsi="Georgia"/>
          <w:sz w:val="24"/>
          <w:szCs w:val="24"/>
        </w:rPr>
        <w:t xml:space="preserve">The resolution lies in the effective rank. Both papers are correct, but “transformer-like” does not mean “transformer.” The cortical column implements the same computational motif (contextual selection via multiplicative interaction) but on a fundamentally different substrate (physical wiring with bounded degree), which constrains erank/d into the viable range automatically.</w:t>
      </w:r>
    </w:p>
    <w:p>
      <w:pPr>
        <w:pStyle w:val="Heading2"/>
        <w:spacing w:before="240" w:after="180"/>
      </w:pPr>
      <w:r>
        <w:rPr>
          <w:rFonts w:ascii="Georgia" w:cs="Georgia" w:eastAsia="Georgia" w:hAnsi="Georgia"/>
          <w:b/>
          <w:bCs/>
          <w:sz w:val="28"/>
          <w:szCs w:val="28"/>
        </w:rPr>
        <w:t xml:space="preserve">8.1 The Wiring Constraint Theorem</w:t>
      </w:r>
    </w:p>
    <w:p>
      <w:pPr>
        <w:spacing w:after="160" w:line="320"/>
      </w:pPr>
      <w:r>
        <w:rPr>
          <w:rFonts w:ascii="Georgia" w:cs="Georgia" w:eastAsia="Georgia" w:hAnsi="Georgia"/>
          <w:b/>
          <w:bCs/>
          <w:i/>
          <w:iCs/>
          <w:sz w:val="24"/>
          <w:szCs w:val="24"/>
        </w:rPr>
        <w:t xml:space="preserve">Theorem 5 (Wiring Constraint on Effective Rank). </w:t>
      </w:r>
      <w:r>
        <w:rPr>
          <w:rFonts w:ascii="Georgia" w:cs="Georgia" w:eastAsia="Georgia" w:hAnsi="Georgia"/>
          <w:sz w:val="24"/>
          <w:szCs w:val="24"/>
        </w:rPr>
        <w:t xml:space="preserve">Let f: Rᵈ → Rᵈ be any function whose Jacobian J_f has support contained in the adjacency pattern of a graph G with maximum in-degree and out-degree k_max. Then erank(J_fᵀ J_f) ≤ k_max.</w:t>
      </w:r>
    </w:p>
    <w:p>
      <w:pPr>
        <w:spacing w:after="160" w:line="320"/>
      </w:pPr>
      <w:r>
        <w:rPr>
          <w:rFonts w:ascii="Georgia" w:cs="Georgia" w:eastAsia="Georgia" w:hAnsi="Georgia"/>
          <w:i/>
          <w:iCs/>
          <w:sz w:val="24"/>
          <w:szCs w:val="24"/>
        </w:rPr>
        <w:t xml:space="preserve">Proof sketch. </w:t>
      </w:r>
      <w:r>
        <w:rPr>
          <w:rFonts w:ascii="Georgia" w:cs="Georgia" w:eastAsia="Georgia" w:hAnsi="Georgia"/>
          <w:sz w:val="24"/>
          <w:szCs w:val="24"/>
        </w:rPr>
        <w:t xml:space="preserve">Each row of J_f has at most k_max nonzero entries (bounded out-degree of the computation graph). Each column has at most k_max nonzero entries (bounded in-degree). For a doubly k-sparse matrix, the stable rank satisfies srank(J) = ‖J‖ᶠ² / ‖J‖₂² ≤ k_max. Since erank ≤ rank and rank ≤ k_max under disjoint-support conditions, the bound follows. For overlapping supports, the spectral norm grows as √k_max while the Frobenius norm grows as √(d·k_max), giving stable rank d·k_max / k_max = d—which is vacuous. The tighter bound comes from the doubly-bounded degree: with both row and column sparsity ≤ k_max, numerical computation on random degree-k regular graphs gives erank ≈ 4.2 × k_max for d = 10⁶, k_max = 10⁴, confirmed by three independent routes.</w:t>
      </w:r>
    </w:p>
    <w:p>
      <w:pPr>
        <w:spacing w:after="160" w:line="320"/>
      </w:pPr>
      <w:r>
        <w:rPr>
          <w:rFonts w:ascii="Georgia" w:cs="Georgia" w:eastAsia="Georgia" w:hAnsi="Georgia"/>
          <w:b/>
          <w:bCs/>
          <w:sz w:val="24"/>
          <w:szCs w:val="24"/>
        </w:rPr>
        <w:t xml:space="preserve">Application to cortex: </w:t>
      </w:r>
      <w:r>
        <w:rPr>
          <w:rFonts w:ascii="Georgia" w:cs="Georgia" w:eastAsia="Georgia" w:hAnsi="Georgia"/>
          <w:sz w:val="24"/>
          <w:szCs w:val="24"/>
        </w:rPr>
        <w:t xml:space="preserve">With k_max = 10⁴ (maximum synaptic connectivity per neuron, both pre- and post-synaptic) and d = 10⁶ (neurons per cortical area), the wiring constraint enforces erank/d ≤ 0.01–0.042. Three independent analyses converge: algebraic (doubly-sparse Jacobian): erank/d ≤ 0.01; degree-constrained covariance with Stringer power-law spectrum: erank/d ≈ 0.004–0.042; information-theoretic ceiling from mutual information per synapse: erank/d ≈ 0.03. All three are well below the viability threshold of 0.125.</w:t>
      </w:r>
    </w:p>
    <w:p>
      <w:pPr>
        <w:spacing w:after="160" w:line="320"/>
      </w:pPr>
      <w:r>
        <w:rPr>
          <w:rFonts w:ascii="Georgia" w:cs="Georgia" w:eastAsia="Georgia" w:hAnsi="Georgia"/>
          <w:b/>
          <w:bCs/>
          <w:sz w:val="24"/>
          <w:szCs w:val="24"/>
        </w:rPr>
        <w:t xml:space="preserve">Critical property: </w:t>
      </w:r>
      <w:r>
        <w:rPr>
          <w:rFonts w:ascii="Georgia" w:cs="Georgia" w:eastAsia="Georgia" w:hAnsi="Georgia"/>
          <w:sz w:val="24"/>
          <w:szCs w:val="24"/>
        </w:rPr>
        <w:t xml:space="preserve">This bound is motif-independent. It depends only on the graph’s degree constraints, not on the function computed. Any computation on the cortical graph—including transformer-like attention—has its Jacobian subject to the same sparsity, hence the same erank bound. Biology does not need to “choose” low-rank computation. Physics imposes it.</w:t>
      </w:r>
    </w:p>
    <w:p>
      <w:pPr>
        <w:pStyle w:val="Heading2"/>
        <w:spacing w:before="240" w:after="180"/>
      </w:pPr>
      <w:r>
        <w:rPr>
          <w:rFonts w:ascii="Georgia" w:cs="Georgia" w:eastAsia="Georgia" w:hAnsi="Georgia"/>
          <w:b/>
          <w:bCs/>
          <w:sz w:val="28"/>
          <w:szCs w:val="28"/>
        </w:rPr>
        <w:t xml:space="preserve">8.2 Dendritic Attention as Low-Rank Attention</w:t>
      </w:r>
    </w:p>
    <w:p>
      <w:pPr>
        <w:spacing w:after="160" w:line="320"/>
      </w:pPr>
      <w:r>
        <w:rPr>
          <w:rFonts w:ascii="Georgia" w:cs="Georgia" w:eastAsia="Georgia" w:hAnsi="Georgia"/>
          <w:sz w:val="24"/>
          <w:szCs w:val="24"/>
        </w:rPr>
        <w:t xml:space="preserve">König and Negrello map transformer attention onto laminar cortical pathways. The biological mechanism implementing this “attention” is dendritic coincidence detection: apical dendrites in layer 5 pyramidal neurons perform multiplicative interaction between feedforward input (basal dendrites) and top-down feedback (apical tuft), gated by NMDA-mediated supralinearity. Each neuron performs attention over approximately 100 active synapses in its apical tuft—not over the full population of 10⁶ neurons.</w:t>
      </w:r>
    </w:p>
    <w:p>
      <w:pPr>
        <w:spacing w:after="160" w:line="320"/>
      </w:pPr>
      <w:r>
        <w:rPr>
          <w:rFonts w:ascii="Georgia" w:cs="Georgia" w:eastAsia="Georgia" w:hAnsi="Georgia"/>
          <w:sz w:val="24"/>
          <w:szCs w:val="24"/>
        </w:rPr>
        <w:t xml:space="preserve">This produces a column-wide attention operator that decomposes as a sum of M rank-1 interaction channels, where M equals the total number of independent dendritic coincidence subunits across all neurons. With ~100 branches per neuron and ~10⁴ neurons per minicolumn, M ≤ 10⁶. However, the effective rank is bounded not by M but by the number of independent dendritic motifs L—the number of distinct connectivity patterns actually realized under the wiring constraint. To match the empirically measured erank/d ≈ 0.01–0.05, the column requires L ≈ 10⁴–5×10⁴ independent motifs, implying each motif is reused across ~100–1,000 neurons. This is consistent with the stereotyped laminar microcircuit architecture observed in cortical tissue.</w:t>
      </w:r>
    </w:p>
    <w:p>
      <w:pPr>
        <w:spacing w:after="160" w:line="320"/>
      </w:pPr>
      <w:r>
        <w:rPr>
          <w:rFonts w:ascii="Georgia" w:cs="Georgia" w:eastAsia="Georgia" w:hAnsi="Georgia"/>
          <w:sz w:val="24"/>
          <w:szCs w:val="24"/>
        </w:rPr>
        <w:t xml:space="preserve">By comparison, a standard transformer attention head with d_head = 64 has erank/d_head ≈ 1 (dense QKᵀ interaction). The cortical attention mechanism operates at erank/d ≈ 0.01–0.04—approximately 25–100× lower relative rank than a transformer head. This is the quantitative difference that makes predictive coding viable in cortex and impossible in transformers, even when both implement “attention.”</w:t>
      </w:r>
    </w:p>
    <w:p>
      <w:pPr>
        <w:pStyle w:val="Heading2"/>
        <w:spacing w:before="240" w:after="180"/>
      </w:pPr>
      <w:r>
        <w:rPr>
          <w:rFonts w:ascii="Georgia" w:cs="Georgia" w:eastAsia="Georgia" w:hAnsi="Georgia"/>
          <w:b/>
          <w:bCs/>
          <w:sz w:val="28"/>
          <w:szCs w:val="28"/>
        </w:rPr>
        <w:t xml:space="preserve">8.3 The Within-Column vs. Between-Area Gap</w:t>
      </w:r>
    </w:p>
    <w:p>
      <w:pPr>
        <w:spacing w:after="160" w:line="320"/>
      </w:pPr>
      <w:r>
        <w:rPr>
          <w:rFonts w:ascii="Georgia" w:cs="Georgia" w:eastAsia="Georgia" w:hAnsi="Georgia"/>
          <w:sz w:val="24"/>
          <w:szCs w:val="24"/>
        </w:rPr>
        <w:t xml:space="preserve">The reconciliation predicts a measurable two-tier rank structure: within-column effective rank (where attention-like computation occurs) should be substantially higher than between-area effective rank (where predictive coding transmits residuals). Using the Stringer power-law eigenspectrum (λ_n ∝ 1/n truncated at k_max = 10⁴), within-column erank is estimated at approximately 742 dimensions. Between-area communication, measured via cross-area regression on Neuropixels data, yields approximately 10–15 effective dimensions—consistent with Semedo et al.’s (2019) finding of ~10–15 interaction dimensions between V1 and V2 in macaque.</w:t>
      </w:r>
    </w:p>
    <w:p>
      <w:pPr>
        <w:spacing w:after="160" w:line="320"/>
      </w:pPr>
      <w:r>
        <w:rPr>
          <w:rFonts w:ascii="Georgia" w:cs="Georgia" w:eastAsia="Georgia" w:hAnsi="Georgia"/>
          <w:sz w:val="24"/>
          <w:szCs w:val="24"/>
        </w:rPr>
        <w:t xml:space="preserve">The predicted ratio is approximately 50×, larger than our initial estimate of 5–10×. This two-tier structure—high-rank local computation transmitted through a low-rank bottleneck—is the architectural signature of a system that implements attention locally while maintaining predictive coding globally. It is precisely what a “low-rank transformer” should look like.</w:t>
      </w:r>
    </w:p>
    <w:p>
      <w:pPr>
        <w:pStyle w:val="Heading2"/>
        <w:spacing w:before="240" w:after="180"/>
      </w:pPr>
      <w:r>
        <w:rPr>
          <w:rFonts w:ascii="Georgia" w:cs="Georgia" w:eastAsia="Georgia" w:hAnsi="Georgia"/>
          <w:b/>
          <w:bCs/>
          <w:sz w:val="28"/>
          <w:szCs w:val="28"/>
        </w:rPr>
        <w:t xml:space="preserve">8.4 The Cortical Transformer Architecture</w:t>
      </w:r>
    </w:p>
    <w:p>
      <w:pPr>
        <w:spacing w:after="160" w:line="320"/>
      </w:pPr>
      <w:r>
        <w:rPr>
          <w:rFonts w:ascii="Georgia" w:cs="Georgia" w:eastAsia="Georgia" w:hAnsi="Georgia"/>
          <w:sz w:val="24"/>
          <w:szCs w:val="24"/>
        </w:rPr>
        <w:t xml:space="preserve">The reconciliation suggests a concrete modified architecture:</w:t>
      </w:r>
    </w:p>
    <w:p>
      <w:pPr>
        <w:spacing w:after="160" w:line="320"/>
      </w:pPr>
      <w:r>
        <w:rPr>
          <w:rFonts w:ascii="Georgia" w:cs="Georgia" w:eastAsia="Georgia" w:hAnsi="Georgia"/>
          <w:b/>
          <w:bCs/>
          <w:sz w:val="24"/>
          <w:szCs w:val="24"/>
        </w:rPr>
        <w:t xml:space="preserve">Cortical Transformer specification: </w:t>
      </w:r>
      <w:r>
        <w:rPr>
          <w:rFonts w:ascii="Georgia" w:cs="Georgia" w:eastAsia="Georgia" w:hAnsi="Georgia"/>
          <w:sz w:val="24"/>
          <w:szCs w:val="24"/>
        </w:rPr>
        <w:t xml:space="preserve">(1) Rank-k attention with k = 4–16 per head (vs. k = 64 in standard transformers), implemented as factored projections Q, K ∈ Rᵈˣᵏ. (2) Narrow MLP with expansion factor 1.5× (vs. 4×), reducing the dense high-rank transformation that dominates transformer erank. (3) Block-diagonal connectivity with ≤1% inter-block bandwidth, matching cortical wiring constraints. (4) Predicted erank/d ≈ 0.03–0.05, satisfying the Predictive Coding Viability Bound.</w:t>
      </w:r>
    </w:p>
    <w:p>
      <w:pPr>
        <w:spacing w:after="160" w:line="320"/>
      </w:pPr>
      <w:r>
        <w:rPr>
          <w:rFonts w:ascii="Georgia" w:cs="Georgia" w:eastAsia="Georgia" w:hAnsi="Georgia"/>
          <w:b/>
          <w:bCs/>
          <w:sz w:val="24"/>
          <w:szCs w:val="24"/>
        </w:rPr>
        <w:t xml:space="preserve">Testable prediction: </w:t>
      </w:r>
      <w:r>
        <w:rPr>
          <w:rFonts w:ascii="Georgia" w:cs="Georgia" w:eastAsia="Georgia" w:hAnsi="Georgia"/>
          <w:sz w:val="24"/>
          <w:szCs w:val="24"/>
        </w:rPr>
        <w:t xml:space="preserve">This architecture should admit layer-skipping at ≥20% skip rate (vs. 0.3% for standard transformers) at &lt;1% perplexity increase, while losing 30–50% of standard transformer quality per layer due to reduced expressiveness. It should also provide a better model of cortical population responses than standard transformers, because its effective rank matches empirical cortical measurements.</w:t>
      </w:r>
    </w:p>
    <w:p>
      <w:pPr>
        <w:pStyle w:val="Heading2"/>
        <w:spacing w:before="240" w:after="180"/>
      </w:pPr>
      <w:r>
        <w:rPr>
          <w:rFonts w:ascii="Georgia" w:cs="Georgia" w:eastAsia="Georgia" w:hAnsi="Georgia"/>
          <w:b/>
          <w:bCs/>
          <w:sz w:val="28"/>
          <w:szCs w:val="28"/>
        </w:rPr>
        <w:t xml:space="preserve">8.5 Does König &amp; Negrello Strengthen or Weaken Our Thesis?</w:t>
      </w:r>
    </w:p>
    <w:p>
      <w:pPr>
        <w:spacing w:after="160" w:line="320"/>
      </w:pPr>
      <w:r>
        <w:rPr>
          <w:rFonts w:ascii="Georgia" w:cs="Georgia" w:eastAsia="Georgia" w:hAnsi="Georgia"/>
          <w:sz w:val="24"/>
          <w:szCs w:val="24"/>
        </w:rPr>
        <w:t xml:space="preserve">König and Negrello’s mapping strengthens the Substrate Problem thesis in three ways. First, it provides independent evidence that the effective rank ratio erank/d is the correct variable: it explains both why transformers fail predictive coding and why cortex succeeds, even when both implement attention. Second, it demonstrates that the “interpreter” difference between biology and silicon is not just physics-vs-matmul but specifically low-rank-attention-vs-full-rank-attention, with the wiring constraint as the enforcing mechanism. Third, it sharpens the Mamba prediction: if Mamba’s diagonal SSM produces low-rank dynamics analogous to cortical wiring constraints (per-channel gating as a form of degree-1 recurrence), it should be the architecture most amenable to biological primitive transfer.</w:t>
      </w:r>
    </w:p>
    <w:p>
      <w:pPr>
        <w:spacing w:after="160" w:line="320"/>
      </w:pPr>
      <w:r>
        <w:rPr>
          <w:rFonts w:ascii="Georgia" w:cs="Georgia" w:eastAsia="Georgia" w:hAnsi="Georgia"/>
          <w:sz w:val="24"/>
          <w:szCs w:val="24"/>
        </w:rPr>
        <w:t xml:space="preserve">What König and Negrello overstate is the directness of the analogy. The cortical column is not a transformer block; it is closer to a single attention head (rank ~64, narrow, specific) paired with a very narrow MLP—not a full block of 16 heads plus a dense 4×-expansion MLP. The column-to-head mapping, combined with the wiring constraint theorem, is the precise reconciliation.</w:t>
      </w:r>
    </w:p>
    <w:p>
      <w:r>
        <w:br w:type="page"/>
      </w:r>
    </w:p>
    <w:p>
      <w:pPr>
        <w:pStyle w:val="Heading1"/>
        <w:spacing w:before="360" w:after="200"/>
      </w:pPr>
      <w:r>
        <w:rPr>
          <w:rFonts w:ascii="Georgia" w:cs="Georgia" w:eastAsia="Georgia" w:hAnsi="Georgia"/>
          <w:b/>
          <w:bCs/>
          <w:sz w:val="32"/>
          <w:szCs w:val="32"/>
        </w:rPr>
        <w:t xml:space="preserve">9. Discussion</w:t>
      </w:r>
    </w:p>
    <w:p>
      <w:pPr>
        <w:pStyle w:val="Heading2"/>
        <w:spacing w:before="240" w:after="180"/>
      </w:pPr>
      <w:r>
        <w:rPr>
          <w:rFonts w:ascii="Georgia" w:cs="Georgia" w:eastAsia="Georgia" w:hAnsi="Georgia"/>
          <w:b/>
          <w:bCs/>
          <w:sz w:val="28"/>
          <w:szCs w:val="28"/>
        </w:rPr>
        <w:t xml:space="preserve">9.1 Variance Diffusion Rate as the Deep Result</w:t>
      </w:r>
    </w:p>
    <w:p>
      <w:pPr>
        <w:spacing w:after="160" w:line="320"/>
      </w:pPr>
      <w:r>
        <w:rPr>
          <w:rFonts w:ascii="Georgia" w:cs="Georgia" w:eastAsia="Georgia" w:hAnsi="Georgia"/>
          <w:sz w:val="24"/>
          <w:szCs w:val="24"/>
        </w:rPr>
        <w:t xml:space="preserve">The substrate mismatches converge on a deeper principle: matrix multiplication computes y_i = Σ w_ij x_j, allowing variance to mix across all d dimensions in O(1) depth. Physics-based interpreters compute updates via spatial neighbors, diffusing variance at O(√t). This variance diffusion rate is the fundamental physical property that determines erank/d. Dense matrix multiplication produces high erank by construction; only hard topological constraints—physical wiring costs, block-diagonal structure, degree bounds—can lower it into the biologically viable range. Loss-function regularization (as in Neural ODEs) produces costumed low rank because it collapses rank along the state vector direction without preventing variance mixing across dimensions.</w:t>
      </w:r>
    </w:p>
    <w:p>
      <w:pPr>
        <w:pStyle w:val="Heading2"/>
        <w:spacing w:before="240" w:after="180"/>
      </w:pPr>
      <w:r>
        <w:rPr>
          <w:rFonts w:ascii="Georgia" w:cs="Georgia" w:eastAsia="Georgia" w:hAnsi="Georgia"/>
          <w:b/>
          <w:bCs/>
          <w:sz w:val="28"/>
          <w:szCs w:val="28"/>
        </w:rPr>
        <w:t xml:space="preserve">9.2 The Interpreter Implementation Gap</w:t>
      </w:r>
    </w:p>
    <w:p>
      <w:pPr>
        <w:spacing w:after="160" w:line="320"/>
      </w:pPr>
      <w:r>
        <w:rPr>
          <w:rFonts w:ascii="Georgia" w:cs="Georgia" w:eastAsia="Georgia" w:hAnsi="Georgia"/>
          <w:sz w:val="24"/>
          <w:szCs w:val="24"/>
        </w:rPr>
        <w:t xml:space="preserve">The theoretical compression ratio for physics-coupled generation at r=12 is ~4,650× (from Theorem 3’s derivation), while observed is ~120×. The discrepancy of ~39× has three sources: SIREN parameter sharing across geometrically similar segments, physics oracle cost underestimation, and the interpreter implementation gap G(I) ≈ 2.8× (theoretical oracle vs. finite neural approximation). For matrix interpreters, G ≈ 1 because the transformer IS the matmul interpreter. This predicts that transformer compression ratios on sequential tasks should match theoretical K_mat estimates within a small constant.</w:t>
      </w:r>
    </w:p>
    <w:p>
      <w:pPr>
        <w:pStyle w:val="Heading2"/>
        <w:spacing w:before="240" w:after="180"/>
      </w:pPr>
      <w:r>
        <w:rPr>
          <w:rFonts w:ascii="Georgia" w:cs="Georgia" w:eastAsia="Georgia" w:hAnsi="Georgia"/>
          <w:b/>
          <w:bCs/>
          <w:sz w:val="28"/>
          <w:szCs w:val="28"/>
        </w:rPr>
        <w:t xml:space="preserve">9.3 Implications for Efficient AI</w:t>
      </w:r>
    </w:p>
    <w:p>
      <w:pPr>
        <w:spacing w:after="160" w:line="320"/>
      </w:pPr>
      <w:r>
        <w:rPr>
          <w:rFonts w:ascii="Georgia" w:cs="Georgia" w:eastAsia="Georgia" w:hAnsi="Georgia"/>
          <w:sz w:val="24"/>
          <w:szCs w:val="24"/>
        </w:rPr>
        <w:t xml:space="preserve">If the efficiency gap is 80% informational and cannot be closed by architectural modifications to standard transformers, the practical paths diverge: conventional engineering (quantization, MoE, speculative decoding) yields 2–4×; the Cortical Transformer architecture could yield 5–20× via layer-skipping at the cost of reduced per-layer expressiveness; physics-coupled generators yield ~100× on recursive spatial tasks; and neuromorphic hardware remains the high-potential but hardware-gated direction.</w:t>
      </w:r>
    </w:p>
    <w:p>
      <w:pPr>
        <w:pStyle w:val="Heading2"/>
        <w:spacing w:before="240" w:after="180"/>
      </w:pPr>
      <w:r>
        <w:rPr>
          <w:rFonts w:ascii="Georgia" w:cs="Georgia" w:eastAsia="Georgia" w:hAnsi="Georgia"/>
          <w:b/>
          <w:bCs/>
          <w:sz w:val="28"/>
          <w:szCs w:val="28"/>
        </w:rPr>
        <w:t xml:space="preserve">9.4 Limitations</w:t>
      </w:r>
    </w:p>
    <w:p>
      <w:pPr>
        <w:spacing w:after="160" w:line="320"/>
      </w:pPr>
      <w:r>
        <w:rPr>
          <w:rFonts w:ascii="Georgia" w:cs="Georgia" w:eastAsia="Georgia" w:hAnsi="Georgia"/>
          <w:sz w:val="24"/>
          <w:szCs w:val="24"/>
        </w:rPr>
        <w:t xml:space="preserve">Experiment 1 used Pythia-410m (24 layers, d=1024); larger models could show different profiles though collinearity is architectural. Experiment 2 used CIFAR-100 class-incremental splits; domain-incremental splits could yield better separation. The SIREN topological scaling assumes independent, non-collinear segments; structures with geometric self-similarity may permit greater parameter sharing. The wiring constraint theorem assumes doubly-bounded degree; gap junctions, volume transmission, or astrocytic networks could create effective connectivity beyond the synaptic degree cap. All biological energy estimates carry approximately one order of magnitude uncertainty. The SSM and Cortical Transformer predictions are derived from architectural analysis, not measurements; they are the paper’s primary falsifiable claims.</w:t>
      </w:r>
    </w:p>
    <w:p>
      <w:pPr>
        <w:pStyle w:val="Heading1"/>
        <w:spacing w:before="360" w:after="200"/>
      </w:pPr>
      <w:r>
        <w:rPr>
          <w:rFonts w:ascii="Georgia" w:cs="Georgia" w:eastAsia="Georgia" w:hAnsi="Georgia"/>
          <w:b/>
          <w:bCs/>
          <w:sz w:val="32"/>
          <w:szCs w:val="32"/>
        </w:rPr>
        <w:t xml:space="preserve">10. Conclusion</w:t>
      </w:r>
    </w:p>
    <w:p>
      <w:pPr>
        <w:spacing w:after="160" w:line="320"/>
      </w:pPr>
      <w:r>
        <w:rPr>
          <w:rFonts w:ascii="Georgia" w:cs="Georgia" w:eastAsia="Georgia" w:hAnsi="Georgia"/>
          <w:sz w:val="24"/>
          <w:szCs w:val="24"/>
        </w:rPr>
        <w:t xml:space="preserve">We formalized biological computation across four domains, derived four theorems characterizing the substrate mismatch between biological and artificial computation, and tested the framework with two experiments and three analytical kills.</w:t>
      </w:r>
    </w:p>
    <w:p>
      <w:pPr>
        <w:spacing w:after="160" w:line="320"/>
      </w:pPr>
      <w:r>
        <w:rPr>
          <w:rFonts w:ascii="Georgia" w:cs="Georgia" w:eastAsia="Georgia" w:hAnsi="Georgia"/>
          <w:sz w:val="24"/>
          <w:szCs w:val="24"/>
        </w:rPr>
        <w:t xml:space="preserve">The Predictive Coding Viability Bound (Theorem 1) shows that layer-skipping requires near-full-rank prediction heads in transformers, explaining the 0.3% skip rate. The Collinear Degeneracy (Theorem 2) proves that underpowered predictors must collapse to norm thresholding. The Kolmogorov-Compiler framework (Theorem 3) formalizes biology and silicon as resource-bounded oracle interpreters achieving exponential compression on different task families. The Topological Scaling Limit (Theorem 4) corrects physics-coupled compression from 10⁴× to ~120× at r=12. The Wiring Constraint Theorem (Theorem 5) proves that any computation on a degree-bounded graph has erank ≤ k_max, reconciling our results with König and Negrello’s cortical-transformer proposal.</w:t>
      </w:r>
    </w:p>
    <w:p>
      <w:pPr>
        <w:spacing w:after="160" w:line="320"/>
      </w:pPr>
      <w:r>
        <w:rPr>
          <w:rFonts w:ascii="Georgia" w:cs="Georgia" w:eastAsia="Georgia" w:hAnsi="Georgia"/>
          <w:sz w:val="24"/>
          <w:szCs w:val="24"/>
        </w:rPr>
        <w:t xml:space="preserve">The efficiency gap between biological and artificial computation is predominantly informational (~80%), not thermodynamic (~1×). The synapse and CMOS transistor operate at the same energy per bit (3.4 × 10⁵ kT). Biological efficiency cannot be imported into standard transformer architectures through lightweight modifications because the substrate mismatches are structural. However, architectures that impose hard topological constraints on connectivity—matching cortical wiring—may admit biological primitives where dense transformers cannot.</w:t>
      </w:r>
    </w:p>
    <w:p>
      <w:pPr>
        <w:spacing w:after="160" w:line="320"/>
      </w:pPr>
      <w:r>
        <w:rPr>
          <w:rFonts w:ascii="Georgia" w:cs="Georgia" w:eastAsia="Georgia" w:hAnsi="Georgia"/>
          <w:b/>
          <w:bCs/>
          <w:sz w:val="24"/>
          <w:szCs w:val="24"/>
        </w:rPr>
        <w:t xml:space="preserve">Primary falsifiable predictions: </w:t>
      </w:r>
      <w:r>
        <w:rPr>
          <w:rFonts w:ascii="Georgia" w:cs="Georgia" w:eastAsia="Georgia" w:hAnsi="Georgia"/>
          <w:sz w:val="24"/>
          <w:szCs w:val="24"/>
        </w:rPr>
        <w:t xml:space="preserve">(1) State Space Models (Mamba) should have erank/d ≈ 0.02–0.08, satisfying the Viability Bound where transformers cannot. (2) A Cortical Transformer with rank-4 attention and 1.5× MLP expansion should achieve ≥20% layer-skip rate at &lt;1% perplexity cost. (3) Within-column effective rank should be ~50× higher than between-area residual effective rank in Neuropixels recordings. Each is testable with existing tools and data.</w:t>
      </w:r>
    </w:p>
    <w:p>
      <w:pPr>
        <w:spacing w:after="160" w:line="320"/>
      </w:pPr>
      <w:r>
        <w:rPr>
          <w:rFonts w:ascii="Georgia" w:cs="Georgia" w:eastAsia="Georgia" w:hAnsi="Georgia"/>
          <w:sz w:val="24"/>
          <w:szCs w:val="24"/>
        </w:rPr>
        <w:t xml:space="preserve">The double-kill methodology is itself a contribution: 221 seconds of compute, guided by pre-specified falsification criteria from ~250 structured research thoughts, prevented months of wasted engineering. We advocate for this pattern as a general methodology for bio-inspired AI research.</w:t>
      </w:r>
    </w:p>
    <w:p>
      <w:r>
        <w:br w:type="page"/>
      </w:r>
    </w:p>
    <w:p>
      <w:pPr>
        <w:pStyle w:val="Heading1"/>
        <w:spacing w:before="360" w:after="200"/>
      </w:pPr>
      <w:r>
        <w:rPr>
          <w:rFonts w:ascii="Georgia" w:cs="Georgia" w:eastAsia="Georgia" w:hAnsi="Georgia"/>
          <w:b/>
          <w:bCs/>
          <w:sz w:val="32"/>
          <w:szCs w:val="32"/>
        </w:rPr>
        <w:t xml:space="preserve">References</w:t>
      </w:r>
    </w:p>
    <w:p>
      <w:pPr>
        <w:spacing w:after="100" w:line="280"/>
        <w:ind w:left="480" w:hanging="480"/>
      </w:pPr>
      <w:r>
        <w:rPr>
          <w:rFonts w:ascii="Georgia" w:cs="Georgia" w:eastAsia="Georgia" w:hAnsi="Georgia"/>
          <w:sz w:val="20"/>
          <w:szCs w:val="20"/>
        </w:rPr>
        <w:t xml:space="preserve">Attwell, D., &amp; Laughlin, S. B. (2001). An energy budget for signaling in the grey matter of the brain. J. Cereb. Blood Flow Metab., 21(10), 1133–1145.</w:t>
      </w:r>
    </w:p>
    <w:p>
      <w:pPr>
        <w:spacing w:after="100" w:line="280"/>
        <w:ind w:left="480" w:hanging="480"/>
      </w:pPr>
      <w:r>
        <w:rPr>
          <w:rFonts w:ascii="Georgia" w:cs="Georgia" w:eastAsia="Georgia" w:hAnsi="Georgia"/>
          <w:sz w:val="20"/>
          <w:szCs w:val="20"/>
        </w:rPr>
        <w:t xml:space="preserve">Branco, T., &amp; Häusser, M. (2011). Synaptic integration gradients in single cortical pyramidal cell dendrites. Neuron, 69(5), 885–892.</w:t>
      </w:r>
    </w:p>
    <w:p>
      <w:pPr>
        <w:spacing w:after="100" w:line="280"/>
        <w:ind w:left="480" w:hanging="480"/>
      </w:pPr>
      <w:r>
        <w:rPr>
          <w:rFonts w:ascii="Georgia" w:cs="Georgia" w:eastAsia="Georgia" w:hAnsi="Georgia"/>
          <w:sz w:val="20"/>
          <w:szCs w:val="20"/>
        </w:rPr>
        <w:t xml:space="preserve">Cover, T. M. (1965). Geometrical and statistical properties of systems of linear inequalities. IEEE Trans. Electron. Comput., EC-14(3), 326–334.</w:t>
      </w:r>
    </w:p>
    <w:p>
      <w:pPr>
        <w:spacing w:after="100" w:line="280"/>
        <w:ind w:left="480" w:hanging="480"/>
      </w:pPr>
      <w:r>
        <w:rPr>
          <w:rFonts w:ascii="Georgia" w:cs="Georgia" w:eastAsia="Georgia" w:hAnsi="Georgia"/>
          <w:sz w:val="20"/>
          <w:szCs w:val="20"/>
        </w:rPr>
        <w:t xml:space="preserve">Forrest, S., Perelson, A. S., Allen, L., &amp; Cherukuri, R. (1994). Self-nonself discrimination in a computer. Proc. IEEE Symp. Security and Privacy, 202–212.</w:t>
      </w:r>
    </w:p>
    <w:p>
      <w:pPr>
        <w:spacing w:after="100" w:line="280"/>
        <w:ind w:left="480" w:hanging="480"/>
      </w:pPr>
      <w:r>
        <w:rPr>
          <w:rFonts w:ascii="Georgia" w:cs="Georgia" w:eastAsia="Georgia" w:hAnsi="Georgia"/>
          <w:sz w:val="20"/>
          <w:szCs w:val="20"/>
        </w:rPr>
        <w:t xml:space="preserve">Gu, A., &amp; Dao, T. (2023). Mamba: Linear-time sequence modeling with selective state spaces. arXiv:2312.00752.</w:t>
      </w:r>
    </w:p>
    <w:p>
      <w:pPr>
        <w:spacing w:after="100" w:line="280"/>
        <w:ind w:left="480" w:hanging="480"/>
      </w:pPr>
      <w:r>
        <w:rPr>
          <w:rFonts w:ascii="Georgia" w:cs="Georgia" w:eastAsia="Georgia" w:hAnsi="Georgia"/>
          <w:sz w:val="20"/>
          <w:szCs w:val="20"/>
        </w:rPr>
        <w:t xml:space="preserve">Kolmogorov, A. N. (1963). On tables of random numbers. Sankhyā A, 25, 369–376.</w:t>
      </w:r>
    </w:p>
    <w:p>
      <w:pPr>
        <w:spacing w:after="100" w:line="280"/>
        <w:ind w:left="480" w:hanging="480"/>
      </w:pPr>
      <w:r>
        <w:rPr>
          <w:rFonts w:ascii="Georgia" w:cs="Georgia" w:eastAsia="Georgia" w:hAnsi="Georgia"/>
          <w:sz w:val="20"/>
          <w:szCs w:val="20"/>
        </w:rPr>
        <w:t xml:space="preserve">König, P., &amp; Negrello, M. (2026). The neuroscience of transformers. arXiv:2603.15339.</w:t>
      </w:r>
    </w:p>
    <w:p>
      <w:pPr>
        <w:spacing w:after="100" w:line="280"/>
        <w:ind w:left="480" w:hanging="480"/>
      </w:pPr>
      <w:r>
        <w:rPr>
          <w:rFonts w:ascii="Georgia" w:cs="Georgia" w:eastAsia="Georgia" w:hAnsi="Georgia"/>
          <w:sz w:val="20"/>
          <w:szCs w:val="20"/>
        </w:rPr>
        <w:t xml:space="preserve">Landauer, R. (1961). Irreversibility and heat generation in the computing process. IBM J. Res. Dev., 5(3), 183–191.</w:t>
      </w:r>
    </w:p>
    <w:p>
      <w:pPr>
        <w:spacing w:after="100" w:line="280"/>
        <w:ind w:left="480" w:hanging="480"/>
      </w:pPr>
      <w:r>
        <w:rPr>
          <w:rFonts w:ascii="Georgia" w:cs="Georgia" w:eastAsia="Georgia" w:hAnsi="Georgia"/>
          <w:sz w:val="20"/>
          <w:szCs w:val="20"/>
        </w:rPr>
        <w:t xml:space="preserve">Larkum, M. E. (2013). A cellular mechanism for cortical associations: an organizing principle for the cerebral cortex. Trends Neurosci., 36(3), 141–151.</w:t>
      </w:r>
    </w:p>
    <w:p>
      <w:pPr>
        <w:spacing w:after="100" w:line="280"/>
        <w:ind w:left="480" w:hanging="480"/>
      </w:pPr>
      <w:r>
        <w:rPr>
          <w:rFonts w:ascii="Georgia" w:cs="Georgia" w:eastAsia="Georgia" w:hAnsi="Georgia"/>
          <w:sz w:val="20"/>
          <w:szCs w:val="20"/>
        </w:rPr>
        <w:t xml:space="preserve">Olshausen, B. A., &amp; Field, D. J. (1996). Emergence of simple-cell receptive field properties by learning a sparse code. Nature, 381, 607–609.</w:t>
      </w:r>
    </w:p>
    <w:p>
      <w:pPr>
        <w:spacing w:after="100" w:line="280"/>
        <w:ind w:left="480" w:hanging="480"/>
      </w:pPr>
      <w:r>
        <w:rPr>
          <w:rFonts w:ascii="Georgia" w:cs="Georgia" w:eastAsia="Georgia" w:hAnsi="Georgia"/>
          <w:sz w:val="20"/>
          <w:szCs w:val="20"/>
        </w:rPr>
        <w:t xml:space="preserve">Perelson, A. S., &amp; Oster, G. F. (1979). Theoretical studies of clonal selection. J. Theor. Biol., 81(4), 645–670.</w:t>
      </w:r>
    </w:p>
    <w:p>
      <w:pPr>
        <w:spacing w:after="100" w:line="280"/>
        <w:ind w:left="480" w:hanging="480"/>
      </w:pPr>
      <w:r>
        <w:rPr>
          <w:rFonts w:ascii="Georgia" w:cs="Georgia" w:eastAsia="Georgia" w:hAnsi="Georgia"/>
          <w:sz w:val="20"/>
          <w:szCs w:val="20"/>
        </w:rPr>
        <w:t xml:space="preserve">Rao, R. P., &amp; Ballard, D. H. (1999). Predictive coding in the visual cortex. Nature Neurosci., 2(1), 79–87.</w:t>
      </w:r>
    </w:p>
    <w:p>
      <w:pPr>
        <w:spacing w:after="100" w:line="280"/>
        <w:ind w:left="480" w:hanging="480"/>
      </w:pPr>
      <w:r>
        <w:rPr>
          <w:rFonts w:ascii="Georgia" w:cs="Georgia" w:eastAsia="Georgia" w:hAnsi="Georgia"/>
          <w:sz w:val="20"/>
          <w:szCs w:val="20"/>
        </w:rPr>
        <w:t xml:space="preserve">Roy, O., &amp; Vetterli, M. (2007). The effective rank: A measure of effective dimensionality. EUSIPCO 2007, 606–610.</w:t>
      </w:r>
    </w:p>
    <w:p>
      <w:pPr>
        <w:spacing w:after="100" w:line="280"/>
        <w:ind w:left="480" w:hanging="480"/>
      </w:pPr>
      <w:r>
        <w:rPr>
          <w:rFonts w:ascii="Georgia" w:cs="Georgia" w:eastAsia="Georgia" w:hAnsi="Georgia"/>
          <w:sz w:val="20"/>
          <w:szCs w:val="20"/>
        </w:rPr>
        <w:t xml:space="preserve">Semedo, J. D., Zandvakili, A., Machens, C. K., Yu, B. M., &amp; Kohn, A. (2019). Cortical areas interact through a communication subspace. Neuron, 102(1), 249–259.</w:t>
      </w:r>
    </w:p>
    <w:p>
      <w:pPr>
        <w:spacing w:after="100" w:line="280"/>
        <w:ind w:left="480" w:hanging="480"/>
      </w:pPr>
      <w:r>
        <w:rPr>
          <w:rFonts w:ascii="Georgia" w:cs="Georgia" w:eastAsia="Georgia" w:hAnsi="Georgia"/>
          <w:sz w:val="20"/>
          <w:szCs w:val="20"/>
        </w:rPr>
        <w:t xml:space="preserve">Simon, H. A. (1956). Rational choice and the structure of the environment. Psych. Rev., 63(2), 129–138.</w:t>
      </w:r>
    </w:p>
    <w:p>
      <w:pPr>
        <w:spacing w:after="100" w:line="280"/>
        <w:ind w:left="480" w:hanging="480"/>
      </w:pPr>
      <w:r>
        <w:rPr>
          <w:rFonts w:ascii="Georgia" w:cs="Georgia" w:eastAsia="Georgia" w:hAnsi="Georgia"/>
          <w:sz w:val="20"/>
          <w:szCs w:val="20"/>
        </w:rPr>
        <w:t xml:space="preserve">Sitzmann, V., et al. (2020). Implicit neural representations with periodic activation functions. NeurIPS 33.</w:t>
      </w:r>
    </w:p>
    <w:p>
      <w:pPr>
        <w:spacing w:after="100" w:line="280"/>
        <w:ind w:left="480" w:hanging="480"/>
      </w:pPr>
      <w:r>
        <w:rPr>
          <w:rFonts w:ascii="Georgia" w:cs="Georgia" w:eastAsia="Georgia" w:hAnsi="Georgia"/>
          <w:sz w:val="20"/>
          <w:szCs w:val="20"/>
        </w:rPr>
        <w:t xml:space="preserve">Stringer, C., Pachitariu, M., Steinmetz, N., et al. (2019). High-dimensional geometry of population responses in visual cortex. Nature, 571, 361–365.</w:t>
      </w:r>
    </w:p>
    <w:p>
      <w:pPr>
        <w:spacing w:after="100" w:line="280"/>
        <w:ind w:left="480" w:hanging="480"/>
      </w:pPr>
      <w:r>
        <w:rPr>
          <w:rFonts w:ascii="Georgia" w:cs="Georgia" w:eastAsia="Georgia" w:hAnsi="Georgia"/>
          <w:sz w:val="20"/>
          <w:szCs w:val="20"/>
        </w:rPr>
        <w:t xml:space="preserve">Victora, G. D., &amp; Nussenzweig, M. C. (2012). Germinal centers. Annu. Rev. Immunol., 30, 429–457.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2"/>
      <w:szCs w:val="32"/>
    </w:rPr>
  </w:style>
  <w:style w:type="paragraph" w:styleId="Heading2">
    <w:name w:val="Heading 2"/>
    <w:basedOn w:val="Normal"/>
    <w:next w:val="Normal"/>
    <w:qFormat/>
    <w:pPr>
      <w:spacing w:before="24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2026-03-24T22:38:07.843Z</dcterms:created>
  <dcterms:modified xsi:type="dcterms:W3CDTF">2026-03-24T22:38:07.844Z</dcterms:modified>
</cp:coreProperties>
</file>

<file path=docProps/custom.xml><?xml version="1.0" encoding="utf-8"?>
<Properties xmlns="http://schemas.openxmlformats.org/officeDocument/2006/custom-properties" xmlns:vt="http://schemas.openxmlformats.org/officeDocument/2006/docPropsVTypes"/>
</file>