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ZAVA RETAIL — PROJECT NORTHSTAR</w:t>
      </w:r>
    </w:p>
    <w:p>
      <w:pPr>
        <w:jc w:val="center"/>
      </w:pPr>
      <w:r>
        <w:rPr>
          <w:b/>
          <w:sz w:val="28"/>
        </w:rPr>
        <w:t>Strategic Acquisition Assessment and Integration Report</w:t>
      </w:r>
    </w:p>
    <w:p>
      <w:pPr>
        <w:jc w:val="center"/>
      </w:pPr>
      <w:r>
        <w:rPr>
          <w:i/>
        </w:rPr>
        <w:t>Confidential — Board Discussion Draft</w:t>
      </w:r>
    </w:p>
    <w:p/>
    <w:p>
      <w:pPr>
        <w:pStyle w:val="Heading1"/>
      </w:pPr>
      <w:r>
        <w:t>Executive Summary</w:t>
      </w:r>
    </w:p>
    <w:p>
      <w:r>
        <w:t>ZAVA Retail is evaluating the proposed acquisition of NovaCart, a fast-growing omnichannel commerce and analytics company. The transaction would expand ZAVA’s digital capabilities, strengthen its presence in tier-2 markets, and accelerate its use of AI for merchandising and inventory decisions. The central question is not strategic fit alone, but whether ZAVA can capture the expected value without weakening cash generation, operational discipline, or customer trust.</w:t>
      </w:r>
    </w:p>
    <w:p>
      <w:r>
        <w:t>Our assessment indicates a compelling strategic rationale, but only if the transaction is structured with clear downside protection and a disciplined integration model. NovaCart brings differentiated demand forecasting, marketplace capabilities, and a digitally engaged customer base. However, its margins are below ZAVA’s, its technology estate contains material modernization needs, and the business has concentrated revenue exposure to a small number of enterprise partners.</w:t>
      </w:r>
    </w:p>
    <w:p>
      <w:r>
        <w:t>Recommendation: proceed to the next stage of diligence and negotiate toward a staged transaction with performance-linked consideration, explicit retention provisions for critical talent, and a 100-day integration plan. The Board should authorize signing only after validating customer concentration, technology liabilities, working-capital requirements, and the achievable synergy case.</w:t>
      </w:r>
    </w:p>
    <w:p>
      <w:pPr>
        <w:pStyle w:val="Heading1"/>
      </w:pPr>
      <w:r>
        <w:t>1. Strategic Context and Market Outlook</w:t>
      </w:r>
    </w:p>
    <w:p>
      <w:r>
        <w:t>ZAVA operates a 250-store omnichannel retail network with approximately 8,000 employees and a broad physical and digital assortment. Competition is increasingly shifting from store footprint and price toward availability, personalization, fulfillment speed, and intelligent use of customer and inventory data.</w:t>
      </w:r>
    </w:p>
    <w:p>
      <w:r>
        <w:t>NovaCart was founded to help retailers manage marketplace assortment, digital demand signals, and predictive inventory decisions. Its platform serves more than 600 retail and consumer brands, with the strongest adoption in urban and emerging regional markets.</w:t>
      </w:r>
    </w:p>
    <w:p>
      <w:r>
        <w:t>Market interviews indicate that retailers are prioritizing profitable growth rather than digital expansion at any cost. This favors a buyer that can combine NovaCart’s software capabilities with ZAVA’s physical network, supplier relationships, and customer reach.</w:t>
      </w:r>
    </w:p>
    <w:p>
      <w:r>
        <w:t>Management implication: The acquisition should be managed as a capability-led transformation rather than a simple consolidation. Decision gates should be tied to measurable evidence, with exceptions escalated to the executive steering committee.</w:t>
      </w:r>
    </w:p>
    <w:p>
      <w:pPr>
        <w:pStyle w:val="Heading1"/>
      </w:pPr>
      <w:r>
        <w:t>2. Transaction Rationale</w:t>
      </w:r>
    </w:p>
    <w:p>
      <w:r>
        <w:t>The proposed acquisition creates three primary sources of value. First, ZAVA can accelerate its inventory intelligence roadmap by integrating NovaCart’s forecasting and marketplace signals. Second, NovaCart can use ZAVA’s store network and supplier ecosystem to expand into markets where its standalone sales model has been slower to scale. Third, the combined customer and transaction data could support more relevant promotions and assortment decisions, subject to privacy and governance controls.</w:t>
      </w:r>
    </w:p>
    <w:p>
      <w:r>
        <w:t>The strategic thesis is strongest where capabilities are complementary. It is weaker where the businesses would simply duplicate functions, particularly in analytics, sales operations, and corporate technology.</w:t>
      </w:r>
    </w:p>
    <w:p>
      <w:r>
        <w:t>Management implication: The acquisition should be managed as a capability-led transformation rather than a simple consolidation. Decision gates should be tied to measurable evidence, with exceptions escalated to the executive steering committee.</w:t>
      </w:r>
    </w:p>
    <w:p>
      <w:pPr>
        <w:pStyle w:val="Heading1"/>
      </w:pPr>
      <w:r>
        <w:t>3. NovaCart Business Performance</w:t>
      </w:r>
    </w:p>
    <w:p>
      <w:r>
        <w:t>NovaCart has delivered strong top-line growth over the last three fiscal years, supported by subscription revenue, implementation services, and transaction-linked fees. Growth has remained above the broader retail software market, although the pace moderated in the most recent period as enterprise customers extended procurement cycles.</w:t>
      </w:r>
    </w:p>
    <w:p>
      <w:r>
        <w:t>Gross margin is healthy for a software-enabled business, but operating margin remains below ZAVA’s target because NovaCart continues to invest heavily in product engineering and customer implementation. Management forecasts margin expansion as recurring revenue increases.</w:t>
      </w:r>
    </w:p>
    <w:p>
      <w:r>
        <w:t>Customer retention is generally strong, but revenue concentration requires attention. The five largest customers account for approximately 31% of revenue, creating a meaningful downside risk if renewal rates weaken after a change in ownership.</w:t>
      </w:r>
    </w:p>
    <w:tbl>
      <w:tblPr>
        <w:tblStyle w:val="TableGrid"/>
        <w:tblW w:type="auto" w:w="0"/>
        <w:tblLook w:firstColumn="1" w:firstRow="1" w:lastColumn="0" w:lastRow="0" w:noHBand="0" w:noVBand="1" w:val="04A0"/>
      </w:tblPr>
      <w:tblGrid>
        <w:gridCol w:w="3312"/>
        <w:gridCol w:w="3312"/>
        <w:gridCol w:w="3312"/>
      </w:tblGrid>
      <w:tr>
        <w:tc>
          <w:tcPr>
            <w:tcW w:type="dxa" w:w="3312"/>
          </w:tcPr>
          <w:p>
            <w:r>
              <w:t>Metric</w:t>
            </w:r>
          </w:p>
        </w:tc>
        <w:tc>
          <w:tcPr>
            <w:tcW w:type="dxa" w:w="3312"/>
          </w:tcPr>
          <w:p>
            <w:r>
              <w:t>Base Case</w:t>
            </w:r>
          </w:p>
        </w:tc>
        <w:tc>
          <w:tcPr>
            <w:tcW w:type="dxa" w:w="3312"/>
          </w:tcPr>
          <w:p>
            <w:r>
              <w:t>Board Consideration</w:t>
            </w:r>
          </w:p>
        </w:tc>
      </w:tr>
      <w:tr>
        <w:tc>
          <w:tcPr>
            <w:tcW w:type="dxa" w:w="3312"/>
          </w:tcPr>
          <w:p>
            <w:r>
              <w:t>Revenue growth</w:t>
            </w:r>
          </w:p>
        </w:tc>
        <w:tc>
          <w:tcPr>
            <w:tcW w:type="dxa" w:w="3312"/>
          </w:tcPr>
          <w:p>
            <w:r>
              <w:t>18%</w:t>
            </w:r>
          </w:p>
        </w:tc>
        <w:tc>
          <w:tcPr>
            <w:tcW w:type="dxa" w:w="3312"/>
          </w:tcPr>
          <w:p>
            <w:r>
              <w:t>Validate sustainability</w:t>
            </w:r>
          </w:p>
        </w:tc>
      </w:tr>
      <w:tr>
        <w:tc>
          <w:tcPr>
            <w:tcW w:type="dxa" w:w="3312"/>
          </w:tcPr>
          <w:p>
            <w:r>
              <w:t>Top-5 customer concentration</w:t>
            </w:r>
          </w:p>
        </w:tc>
        <w:tc>
          <w:tcPr>
            <w:tcW w:type="dxa" w:w="3312"/>
          </w:tcPr>
          <w:p>
            <w:r>
              <w:t>31%</w:t>
            </w:r>
          </w:p>
        </w:tc>
        <w:tc>
          <w:tcPr>
            <w:tcW w:type="dxa" w:w="3312"/>
          </w:tcPr>
          <w:p>
            <w:r>
              <w:t>Retention diligence</w:t>
            </w:r>
          </w:p>
        </w:tc>
      </w:tr>
      <w:tr>
        <w:tc>
          <w:tcPr>
            <w:tcW w:type="dxa" w:w="3312"/>
          </w:tcPr>
          <w:p>
            <w:r>
              <w:t>Gross margin</w:t>
            </w:r>
          </w:p>
        </w:tc>
        <w:tc>
          <w:tcPr>
            <w:tcW w:type="dxa" w:w="3312"/>
          </w:tcPr>
          <w:p>
            <w:r>
              <w:t>68%</w:t>
            </w:r>
          </w:p>
        </w:tc>
        <w:tc>
          <w:tcPr>
            <w:tcW w:type="dxa" w:w="3312"/>
          </w:tcPr>
          <w:p>
            <w:r>
              <w:t>Monitor mix</w:t>
            </w:r>
          </w:p>
        </w:tc>
      </w:tr>
    </w:tbl>
    <w:p>
      <w:r>
        <w:t>Management implication: The acquisition should be managed as a capability-led transformation rather than a simple consolidation. Decision gates should be tied to measurable evidence, with exceptions escalated to the executive steering committee.</w:t>
      </w:r>
    </w:p>
    <w:p>
      <w:pPr>
        <w:pStyle w:val="Heading1"/>
      </w:pPr>
      <w:r>
        <w:t>4. Product, Data, and Technology Assessment</w:t>
      </w:r>
    </w:p>
    <w:p>
      <w:r>
        <w:t>NovaCart’s core forecasting engine is the most strategically differentiated asset. It combines historical sales, promotion calendars, product attributes, inventory positions, and external demand signals to generate store- and SKU-level recommendations.</w:t>
      </w:r>
    </w:p>
    <w:p>
      <w:r>
        <w:t>The technology stack is scalable but not uniformly modern. Several services require migration to standardized cloud infrastructure, and documentation for selected legacy integrations is incomplete. The platform has experienced service incidents during major promotional events, although management reports that reliability has improved materially.</w:t>
      </w:r>
    </w:p>
    <w:p>
      <w:r>
        <w:t>Data governance is a critical diligence item. The combined organization would need clear policies for data minimization, access controls, retention, model monitoring, and customer consent. Integration should not proceed on the assumption that all datasets can be freely combined.</w:t>
      </w:r>
    </w:p>
    <w:p>
      <w:r>
        <w:t>Management implication: The acquisition should be managed as a capability-led transformation rather than a simple consolidation. Decision gates should be tied to measurable evidence, with exceptions escalated to the executive steering committee.</w:t>
      </w:r>
    </w:p>
    <w:p>
      <w:pPr>
        <w:pStyle w:val="Heading1"/>
      </w:pPr>
      <w:r>
        <w:t>5. Customer and Commercial Analysis</w:t>
      </w:r>
    </w:p>
    <w:p>
      <w:r>
        <w:t>NovaCart’s customer base is attractive because it reaches digitally mature retailers that could also become suppliers, partners, or marketplace participants within ZAVA’s ecosystem. Cross-selling opportunities exist in analytics, fulfillment, supplier services, and advertising.</w:t>
      </w:r>
    </w:p>
    <w:p>
      <w:r>
        <w:t>However, the commercial model is relationship-intensive. Several large accounts have executive-level relationships with NovaCart founders and senior leaders. Retention packages and transition plans should therefore be established before closing.</w:t>
      </w:r>
    </w:p>
    <w:p>
      <w:r>
        <w:t>Customer messaging should emphasize continuity. A poorly managed acquisition announcement could create uncertainty around pricing, product roadmaps, or data usage and accelerate competitive displacement.</w:t>
      </w:r>
    </w:p>
    <w:p>
      <w:r>
        <w:t>Management implication: The acquisition should be managed as a capability-led transformation rather than a simple consolidation. Decision gates should be tied to measurable evidence, with exceptions escalated to the executive steering committee.</w:t>
      </w:r>
    </w:p>
    <w:p>
      <w:pPr>
        <w:pStyle w:val="Heading1"/>
      </w:pPr>
      <w:r>
        <w:t>6. Synergy Case</w:t>
      </w:r>
    </w:p>
    <w:p>
      <w:r>
        <w:t>The base-case synergy model estimates annual run-rate benefits from procurement leverage, technology consolidation, reduced duplicated corporate functions, incremental marketplace revenue, and improved inventory productivity.</w:t>
      </w:r>
    </w:p>
    <w:p>
      <w:r>
        <w:t>Cost synergies are more controllable than revenue synergies. The Board should therefore place greater weight on validated cost actions and treat cross-selling and incremental revenue as upside until supported by customer-level evidence.</w:t>
      </w:r>
    </w:p>
    <w:p>
      <w:r>
        <w:t>Inventory productivity could be the largest operational benefit. Even a modest reduction in excess stock and improved availability can have a material impact across a 250-store network, but benefits depend on successful model integration and disciplined adoption by merchants and store teams.</w:t>
      </w:r>
    </w:p>
    <w:tbl>
      <w:tblPr>
        <w:tblStyle w:val="TableGrid"/>
        <w:tblW w:type="auto" w:w="0"/>
        <w:tblLook w:firstColumn="1" w:firstRow="1" w:lastColumn="0" w:lastRow="0" w:noHBand="0" w:noVBand="1" w:val="04A0"/>
      </w:tblPr>
      <w:tblGrid>
        <w:gridCol w:w="3312"/>
        <w:gridCol w:w="3312"/>
        <w:gridCol w:w="3312"/>
      </w:tblGrid>
      <w:tr>
        <w:tc>
          <w:tcPr>
            <w:tcW w:type="dxa" w:w="3312"/>
          </w:tcPr>
          <w:p>
            <w:r>
              <w:t>Metric</w:t>
            </w:r>
          </w:p>
        </w:tc>
        <w:tc>
          <w:tcPr>
            <w:tcW w:type="dxa" w:w="3312"/>
          </w:tcPr>
          <w:p>
            <w:r>
              <w:t>Base Case</w:t>
            </w:r>
          </w:p>
        </w:tc>
        <w:tc>
          <w:tcPr>
            <w:tcW w:type="dxa" w:w="3312"/>
          </w:tcPr>
          <w:p>
            <w:r>
              <w:t>Board Consideration</w:t>
            </w:r>
          </w:p>
        </w:tc>
      </w:tr>
      <w:tr>
        <w:tc>
          <w:tcPr>
            <w:tcW w:type="dxa" w:w="3312"/>
          </w:tcPr>
          <w:p>
            <w:r>
              <w:t>Run-rate cost synergy</w:t>
            </w:r>
          </w:p>
        </w:tc>
        <w:tc>
          <w:tcPr>
            <w:tcW w:type="dxa" w:w="3312"/>
          </w:tcPr>
          <w:p>
            <w:r>
              <w:t>$18M</w:t>
            </w:r>
          </w:p>
        </w:tc>
        <w:tc>
          <w:tcPr>
            <w:tcW w:type="dxa" w:w="3312"/>
          </w:tcPr>
          <w:p>
            <w:r>
              <w:t>Validate owners</w:t>
            </w:r>
          </w:p>
        </w:tc>
      </w:tr>
      <w:tr>
        <w:tc>
          <w:tcPr>
            <w:tcW w:type="dxa" w:w="3312"/>
          </w:tcPr>
          <w:p>
            <w:r>
              <w:t>Inventory productivity</w:t>
            </w:r>
          </w:p>
        </w:tc>
        <w:tc>
          <w:tcPr>
            <w:tcW w:type="dxa" w:w="3312"/>
          </w:tcPr>
          <w:p>
            <w:r>
              <w:t>2–3% improvement</w:t>
            </w:r>
          </w:p>
        </w:tc>
        <w:tc>
          <w:tcPr>
            <w:tcW w:type="dxa" w:w="3312"/>
          </w:tcPr>
          <w:p>
            <w:r>
              <w:t>Pilot before scaling</w:t>
            </w:r>
          </w:p>
        </w:tc>
      </w:tr>
      <w:tr>
        <w:tc>
          <w:tcPr>
            <w:tcW w:type="dxa" w:w="3312"/>
          </w:tcPr>
          <w:p>
            <w:r>
              <w:t>Revenue synergy</w:t>
            </w:r>
          </w:p>
        </w:tc>
        <w:tc>
          <w:tcPr>
            <w:tcW w:type="dxa" w:w="3312"/>
          </w:tcPr>
          <w:p>
            <w:r>
              <w:t>$12M potential</w:t>
            </w:r>
          </w:p>
        </w:tc>
        <w:tc>
          <w:tcPr>
            <w:tcW w:type="dxa" w:w="3312"/>
          </w:tcPr>
          <w:p>
            <w:r>
              <w:t>Treat as upside</w:t>
            </w:r>
          </w:p>
        </w:tc>
      </w:tr>
    </w:tbl>
    <w:p>
      <w:r>
        <w:t>Management implication: The acquisition should be managed as a capability-led transformation rather than a simple consolidation. Decision gates should be tied to measurable evidence, with exceptions escalated to the executive steering committee.</w:t>
      </w:r>
    </w:p>
    <w:p>
      <w:pPr>
        <w:pStyle w:val="Heading1"/>
      </w:pPr>
      <w:r>
        <w:t>7. Financial Considerations</w:t>
      </w:r>
    </w:p>
    <w:p>
      <w:r>
        <w:t>The proposed valuation assumes continued double-digit growth and meaningful margin expansion. At the proposed headline price, the transaction is sensitive to three variables: revenue growth, customer retention, and the speed at which synergies are realized.</w:t>
      </w:r>
    </w:p>
    <w:p>
      <w:r>
        <w:t>Working capital should be modeled separately from the purchase price. NovaCart’s implementation cycle can create timing differences between contract signing, onboarding costs, and recurring revenue recognition.</w:t>
      </w:r>
    </w:p>
    <w:p>
      <w:r>
        <w:t>Financing capacity remains adequate under the base case, but leverage rises materially if the transaction is funded primarily with debt. A staged structure can reduce this risk by linking a portion of consideration to post-close performance.</w:t>
      </w:r>
    </w:p>
    <w:tbl>
      <w:tblPr>
        <w:tblStyle w:val="TableGrid"/>
        <w:tblW w:type="auto" w:w="0"/>
        <w:tblLook w:firstColumn="1" w:firstRow="1" w:lastColumn="0" w:lastRow="0" w:noHBand="0" w:noVBand="1" w:val="04A0"/>
      </w:tblPr>
      <w:tblGrid>
        <w:gridCol w:w="3312"/>
        <w:gridCol w:w="3312"/>
        <w:gridCol w:w="3312"/>
      </w:tblGrid>
      <w:tr>
        <w:tc>
          <w:tcPr>
            <w:tcW w:type="dxa" w:w="3312"/>
          </w:tcPr>
          <w:p>
            <w:r>
              <w:t>Metric</w:t>
            </w:r>
          </w:p>
        </w:tc>
        <w:tc>
          <w:tcPr>
            <w:tcW w:type="dxa" w:w="3312"/>
          </w:tcPr>
          <w:p>
            <w:r>
              <w:t>Base Case</w:t>
            </w:r>
          </w:p>
        </w:tc>
        <w:tc>
          <w:tcPr>
            <w:tcW w:type="dxa" w:w="3312"/>
          </w:tcPr>
          <w:p>
            <w:r>
              <w:t>Board Consideration</w:t>
            </w:r>
          </w:p>
        </w:tc>
      </w:tr>
      <w:tr>
        <w:tc>
          <w:tcPr>
            <w:tcW w:type="dxa" w:w="3312"/>
          </w:tcPr>
          <w:p>
            <w:r>
              <w:t>Illustrative purchase price</w:t>
            </w:r>
          </w:p>
        </w:tc>
        <w:tc>
          <w:tcPr>
            <w:tcW w:type="dxa" w:w="3312"/>
          </w:tcPr>
          <w:p>
            <w:r>
              <w:t>$420M</w:t>
            </w:r>
          </w:p>
        </w:tc>
        <w:tc>
          <w:tcPr>
            <w:tcW w:type="dxa" w:w="3312"/>
          </w:tcPr>
          <w:p>
            <w:r>
              <w:t>Subject to diligence</w:t>
            </w:r>
          </w:p>
        </w:tc>
      </w:tr>
      <w:tr>
        <w:tc>
          <w:tcPr>
            <w:tcW w:type="dxa" w:w="3312"/>
          </w:tcPr>
          <w:p>
            <w:r>
              <w:t>Debt funding</w:t>
            </w:r>
          </w:p>
        </w:tc>
        <w:tc>
          <w:tcPr>
            <w:tcW w:type="dxa" w:w="3312"/>
          </w:tcPr>
          <w:p>
            <w:r>
              <w:t>Up to $250M</w:t>
            </w:r>
          </w:p>
        </w:tc>
        <w:tc>
          <w:tcPr>
            <w:tcW w:type="dxa" w:w="3312"/>
          </w:tcPr>
          <w:p>
            <w:r>
              <w:t>Manage leverage</w:t>
            </w:r>
          </w:p>
        </w:tc>
      </w:tr>
      <w:tr>
        <w:tc>
          <w:tcPr>
            <w:tcW w:type="dxa" w:w="3312"/>
          </w:tcPr>
          <w:p>
            <w:r>
              <w:t>Earn-out consideration</w:t>
            </w:r>
          </w:p>
        </w:tc>
        <w:tc>
          <w:tcPr>
            <w:tcW w:type="dxa" w:w="3312"/>
          </w:tcPr>
          <w:p>
            <w:r>
              <w:t>Up to $70M</w:t>
            </w:r>
          </w:p>
        </w:tc>
        <w:tc>
          <w:tcPr>
            <w:tcW w:type="dxa" w:w="3312"/>
          </w:tcPr>
          <w:p>
            <w:r>
              <w:t>Tie to milestones</w:t>
            </w:r>
          </w:p>
        </w:tc>
      </w:tr>
    </w:tbl>
    <w:p>
      <w:r>
        <w:t>Management implication: The acquisition should be managed as a capability-led transformation rather than a simple consolidation. Decision gates should be tied to measurable evidence, with exceptions escalated to the executive steering committee.</w:t>
      </w:r>
    </w:p>
    <w:p>
      <w:pPr>
        <w:pStyle w:val="Heading1"/>
      </w:pPr>
      <w:r>
        <w:t>8. Regulatory, Security, and Compliance Review</w:t>
      </w:r>
    </w:p>
    <w:p>
      <w:r>
        <w:t>The acquisition would increase the scale and sensitivity of ZAVA’s customer and operational data environment. Security diligence should cover identity architecture, privileged access, third-party dependencies, incident response, encryption, logging, and vulnerability management.</w:t>
      </w:r>
    </w:p>
    <w:p>
      <w:r>
        <w:t>Regulatory exposure varies by customer and geography. The integration team should establish a common control framework before migrating datasets or consolidating applications.</w:t>
      </w:r>
    </w:p>
    <w:p>
      <w:r>
        <w:t>No critical compliance blocker has been identified in the preliminary review, but several controls require evidence-based validation before signing.</w:t>
      </w:r>
    </w:p>
    <w:p>
      <w:r>
        <w:t>Management implication: The acquisition should be managed as a capability-led transformation rather than a simple consolidation. Decision gates should be tied to measurable evidence, with exceptions escalated to the executive steering committee.</w:t>
      </w:r>
    </w:p>
    <w:p>
      <w:pPr>
        <w:pStyle w:val="Heading1"/>
      </w:pPr>
      <w:r>
        <w:t>9. Organization and Talent</w:t>
      </w:r>
    </w:p>
    <w:p>
      <w:r>
        <w:t>NovaCart’s product, data science, and customer success teams represent a significant portion of the acquisition’s value. Losing a small number of senior technical leaders could delay integration and reduce the expected benefit of the transaction.</w:t>
      </w:r>
    </w:p>
    <w:p>
      <w:r>
        <w:t>ZAVA should define which capabilities remain independent, which move into shared functions, and which are consolidated. Integration should preserve speed of product development while introducing ZAVA’s stronger governance and operational controls.</w:t>
      </w:r>
    </w:p>
    <w:p>
      <w:r>
        <w:t>Retention should be linked to measurable milestones rather than tenure alone. Leaders responsible for critical platform migrations and customer renewals should have clear incentives through the first 12 to 18 months.</w:t>
      </w:r>
    </w:p>
    <w:p>
      <w:r>
        <w:t>Management implication: The acquisition should be managed as a capability-led transformation rather than a simple consolidation. Decision gates should be tied to measurable evidence, with exceptions escalated to the executive steering committee.</w:t>
      </w:r>
    </w:p>
    <w:p>
      <w:pPr>
        <w:pStyle w:val="Heading1"/>
      </w:pPr>
      <w:r>
        <w:t>10. Integration Plan</w:t>
      </w:r>
    </w:p>
    <w:p>
      <w:r>
        <w:t>The first 30 days should focus on continuity: customer communications, employee retention, security controls, financial reporting, and incident management. No major platform migration should occur before dependencies are mapped.</w:t>
      </w:r>
    </w:p>
    <w:p>
      <w:r>
        <w:t>Days 31–60 should establish the target operating model, confirm synergy owners, prioritize technology remediation, and launch selected pilots for inventory forecasting and marketplace integration.</w:t>
      </w:r>
    </w:p>
    <w:p>
      <w:r>
        <w:t>Days 61–100 should move validated initiatives into execution, measure adoption, and present the Board with a revised synergy forecast based on actual results rather than transaction assumptions.</w:t>
      </w:r>
    </w:p>
    <w:p>
      <w:r>
        <w:t>Management implication: The acquisition should be managed as a capability-led transformation rather than a simple consolidation. Decision gates should be tied to measurable evidence, with exceptions escalated to the executive steering committee.</w:t>
      </w:r>
    </w:p>
    <w:p>
      <w:pPr>
        <w:pStyle w:val="Heading1"/>
      </w:pPr>
      <w:r>
        <w:t>11. Risk Register</w:t>
      </w:r>
    </w:p>
    <w:p>
      <w:r>
        <w:t>Principal risks include customer attrition, technology integration delays, talent loss, under-realized revenue synergies, cybersecurity exposure, and overpayment. These risks are manageable but require explicit owners and measurable triggers.</w:t>
      </w:r>
    </w:p>
    <w:p>
      <w:r>
        <w:t>A transaction should be reconsidered if major customers representing a material share of revenue signal non-renewal, if technology diligence identifies previously undisclosed critical liabilities, or if the achievable synergy case falls materially below the level required to support the valuation.</w:t>
      </w:r>
    </w:p>
    <w:p>
      <w:r>
        <w:t>Management implication: The acquisition should be managed as a capability-led transformation rather than a simple consolidation. Decision gates should be tied to measurable evidence, with exceptions escalated to the executive steering committee.</w:t>
      </w:r>
    </w:p>
    <w:p>
      <w:pPr>
        <w:pStyle w:val="Heading1"/>
      </w:pPr>
      <w:r>
        <w:t>12. Board Decision Framework</w:t>
      </w:r>
    </w:p>
    <w:p>
      <w:r>
        <w:t>The Board should evaluate the transaction against four questions: Is the strategic capability genuinely differentiated? Is the valuation supportable under conservative assumptions? Can integration be executed without disrupting customers and employees? Are downside risks contractually protected?</w:t>
      </w:r>
    </w:p>
    <w:p>
      <w:r>
        <w:t>On balance, the acquisition can create meaningful long-term value, but the current proposal should not be approved as an unconditional bet on growth. The preferred path is a staged transaction with robust diligence gates, performance-linked consideration, and a clearly accountable integration office.</w:t>
      </w:r>
    </w:p>
    <w:p>
      <w:r>
        <w:t>Management implication: The acquisition should be managed as a capability-led transformation rather than a simple consolidation. Decision gates should be tied to measurable evidence, with exceptions escalated to the executive steering committee.</w:t>
      </w:r>
    </w:p>
    <w:p>
      <w:pPr>
        <w:pStyle w:val="Heading1"/>
      </w:pPr>
      <w:r>
        <w:t>13. Appendices and Supporting Evidence</w:t>
      </w:r>
    </w:p>
    <w:p>
      <w:r>
        <w:t>Appendix A contains the detailed financial model and sensitivity cases. Appendix B provides customer concentration and retention analysis. Appendix C summarizes the technology architecture review and outstanding remediation items.</w:t>
      </w:r>
    </w:p>
    <w:p>
      <w:r>
        <w:t>Appendix D provides the preliminary synergy workplan, including owners, timing, dependencies, and measurement methodology. Appendix E contains interview themes from customers, employees, and external market participants.</w:t>
      </w:r>
    </w:p>
    <w:p>
      <w:r>
        <w:t>Appendix F documents assumptions used throughout the report and identifies areas where management estimates require independent validation before final investment approval.</w:t>
      </w:r>
    </w:p>
    <w:p>
      <w:r>
        <w:t>Management implication: The acquisition should be managed as a capability-led transformation rather than a simple consolidation. Decision gates should be tied to measurable evidence, with exceptions escalated to the executive steering committee.</w:t>
      </w:r>
    </w:p>
    <w:p>
      <w:pPr>
        <w:pStyle w:val="Heading1"/>
      </w:pPr>
      <w:r>
        <w:t>14. Final Diligence Checklist</w:t>
      </w:r>
    </w:p>
    <w:p>
      <w:pPr>
        <w:pStyle w:val="ListBullet"/>
      </w:pPr>
      <w:r>
        <w:t>Validate top customer renewal intentions and contractual change-of-control provisions.</w:t>
      </w:r>
    </w:p>
    <w:p>
      <w:pPr>
        <w:pStyle w:val="ListBullet"/>
      </w:pPr>
      <w:r>
        <w:t>Complete independent technology architecture and cybersecurity assessment.</w:t>
      </w:r>
    </w:p>
    <w:p>
      <w:pPr>
        <w:pStyle w:val="ListBullet"/>
      </w:pPr>
      <w:r>
        <w:t>Reconcile historical financial statements with customer-level recurring revenue.</w:t>
      </w:r>
    </w:p>
    <w:p>
      <w:pPr>
        <w:pStyle w:val="ListBullet"/>
      </w:pPr>
      <w:r>
        <w:t>Confirm working-capital and cash-conversion assumptions.</w:t>
      </w:r>
    </w:p>
    <w:p>
      <w:pPr>
        <w:pStyle w:val="ListBullet"/>
      </w:pPr>
      <w:r>
        <w:t>Validate synergy owners, timing, dependencies, and one-time costs.</w:t>
      </w:r>
    </w:p>
    <w:p>
      <w:pPr>
        <w:pStyle w:val="ListBullet"/>
      </w:pPr>
      <w:r>
        <w:t>Complete critical-talent retention agreements before closing.</w:t>
      </w:r>
    </w:p>
    <w:p>
      <w:pPr>
        <w:pStyle w:val="ListBullet"/>
      </w:pPr>
      <w:r>
        <w:t>Approve a 100-day integration governance model.</w:t>
      </w:r>
    </w:p>
    <w:p>
      <w:pPr>
        <w:pStyle w:val="ListBullet"/>
      </w:pPr>
      <w:r>
        <w:t>Define data-governance controls before any cross-company data consolidation.</w:t>
      </w:r>
    </w:p>
    <w:p>
      <w:pPr>
        <w:pStyle w:val="ListBullet"/>
      </w:pPr>
      <w:r>
        <w:t>Prepare customer and employee communications for signing and close.</w:t>
      </w:r>
    </w:p>
    <w:p>
      <w:pPr>
        <w:pStyle w:val="ListBullet"/>
      </w:pPr>
      <w:r>
        <w:t>Return to the Board with a final investment case and downside scenario.</w:t>
      </w:r>
    </w:p>
    <w:p>
      <w:pPr>
        <w:pStyle w:val="Heading1"/>
      </w:pPr>
      <w:r>
        <w:t>15. Conclusion</w:t>
      </w:r>
    </w:p>
    <w:p>
      <w:r>
        <w:t>Project Northstar presents a credible opportunity to accelerate ZAVA Retail’s transition toward data-driven omnichannel operations. The acquisition is strategically attractive because NovaCart’s forecasting, marketplace, and analytics capabilities can address identifiable gaps in ZAVA’s roadmap. The case is nevertheless conditional: customer retention, technology remediation, talent continuity, and valuation discipline determine whether strategic fit becomes shareholder value.</w:t>
      </w:r>
    </w:p>
    <w:p>
      <w:r>
        <w:t>The recommended course is to continue toward signing while preserving negotiating leverage through a staged structure, performance-linked consideration, and explicit diligence gates. This approach allows ZAVA to pursue the upside while limiting exposure to the most material risks identified across the report.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Project Northstar — Confidential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