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595959"/>
          <w:sz w:val="18"/>
          <w:szCs w:val="18"/>
        </w:rPr>
        <w:t xml:space="preserve">CONTOSO PHARMACEUTICALS — RESTRICTED</w:t>
      </w:r>
    </w:p>
    <w:p>
      <w:pPr>
        <w:pBdr>
          <w:bottom w:val="single" w:color="1F3864" w:sz="6" w:space="6"/>
        </w:pBdr>
        <w:spacing w:after="240"/>
        <w:jc w:val="center"/>
      </w:pPr>
      <w:r>
        <w:rPr>
          <w:color w:val="595959"/>
          <w:sz w:val="18"/>
          <w:szCs w:val="18"/>
        </w:rPr>
        <w:t xml:space="preserve">Program Mark 8 — Confidential Research Record</w:t>
      </w:r>
    </w:p>
    <w:p>
      <w:pPr>
        <w:spacing w:after="240"/>
        <w:jc w:val="center"/>
      </w:pPr>
      <w:r>
        <w:rPr>
          <w:b/>
          <w:bCs/>
          <w:color w:val="1F3864"/>
          <w:sz w:val="34"/>
          <w:szCs w:val="34"/>
        </w:rPr>
        <w:t xml:space="preserve">CX-2087 Formulation and Process Development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D9E2F3" w:val="clear"/>
          </w:tcPr>
          <w:p>
            <w:r>
              <w:rPr>
                <w:b/>
                <w:bCs/>
              </w:rPr>
              <w:t xml:space="preserve">Field</w:t>
            </w:r>
          </w:p>
        </w:tc>
        <w:tc>
          <w:tcPr>
            <w:tcW w:type="dxa" w:w="6360"/>
            <w:shd w:fill="D9E2F3" w:val="clear"/>
          </w:tcPr>
          <w:p>
            <w:r>
              <w:rPr>
                <w:b/>
                <w:bCs/>
              </w:rPr>
              <w:t xml:space="preserve">Value</w:t>
            </w:r>
          </w:p>
        </w:tc>
      </w:tr>
      <w:tr>
        <w:tc>
          <w:tcPr>
            <w:tcW w:type="dxa" w:w="3000"/>
          </w:tcPr>
          <w:p>
            <w:r>
              <w:rPr>
                <w:b w:val="false"/>
                <w:bCs w:val="false"/>
              </w:rPr>
              <w:t xml:space="preserve">Compound ID</w:t>
            </w:r>
          </w:p>
        </w:tc>
        <w:tc>
          <w:tcPr>
            <w:tcW w:type="dxa" w:w="6360"/>
          </w:tcPr>
          <w:p>
            <w:r>
              <w:rPr>
                <w:b w:val="false"/>
                <w:bCs w:val="false"/>
              </w:rPr>
              <w:t xml:space="preserve">CX-2087</w:t>
            </w:r>
          </w:p>
        </w:tc>
      </w:tr>
      <w:tr>
        <w:tc>
          <w:tcPr>
            <w:tcW w:type="dxa" w:w="3000"/>
          </w:tcPr>
          <w:p>
            <w:r>
              <w:rPr>
                <w:b w:val="false"/>
                <w:bCs w:val="false"/>
              </w:rPr>
              <w:t xml:space="preserve">Program</w:t>
            </w:r>
          </w:p>
        </w:tc>
        <w:tc>
          <w:tcPr>
            <w:tcW w:type="dxa" w:w="6360"/>
          </w:tcPr>
          <w:p>
            <w:r>
              <w:rPr>
                <w:b w:val="false"/>
                <w:bCs w:val="false"/>
              </w:rPr>
              <w:t xml:space="preserve">Mark 8 (lead investigational candidate)</w:t>
            </w:r>
          </w:p>
        </w:tc>
      </w:tr>
      <w:tr>
        <w:tc>
          <w:tcPr>
            <w:tcW w:type="dxa" w:w="3000"/>
          </w:tcPr>
          <w:p>
            <w:r>
              <w:rPr>
                <w:b w:val="false"/>
                <w:bCs w:val="false"/>
              </w:rPr>
              <w:t xml:space="preserve">Protocol reference</w:t>
            </w:r>
          </w:p>
        </w:tc>
        <w:tc>
          <w:tcPr>
            <w:tcW w:type="dxa" w:w="6360"/>
          </w:tcPr>
          <w:p>
            <w:r>
              <w:rPr>
                <w:b w:val="false"/>
                <w:bCs w:val="false"/>
              </w:rPr>
              <w:t xml:space="preserve">PRO-MK8-014</w:t>
            </w:r>
          </w:p>
        </w:tc>
      </w:tr>
      <w:tr>
        <w:tc>
          <w:tcPr>
            <w:tcW w:type="dxa" w:w="3000"/>
          </w:tcPr>
          <w:p>
            <w:r>
              <w:rPr>
                <w:b w:val="false"/>
                <w:bCs w:val="false"/>
              </w:rPr>
              <w:t xml:space="preserve">Development phase</w:t>
            </w:r>
          </w:p>
        </w:tc>
        <w:tc>
          <w:tcPr>
            <w:tcW w:type="dxa" w:w="6360"/>
          </w:tcPr>
          <w:p>
            <w:r>
              <w:rPr>
                <w:b w:val="false"/>
                <w:bCs w:val="false"/>
              </w:rPr>
              <w:t xml:space="preserve">Phase III</w:t>
            </w:r>
          </w:p>
        </w:tc>
      </w:tr>
      <w:tr>
        <w:tc>
          <w:tcPr>
            <w:tcW w:type="dxa" w:w="3000"/>
          </w:tcPr>
          <w:p>
            <w:r>
              <w:rPr>
                <w:b w:val="false"/>
                <w:bCs w:val="false"/>
              </w:rPr>
              <w:t xml:space="preserve">Document owner</w:t>
            </w:r>
          </w:p>
        </w:tc>
        <w:tc>
          <w:tcPr>
            <w:tcW w:type="dxa" w:w="6360"/>
          </w:tcPr>
          <w:p>
            <w:r>
              <w:rPr>
                <w:b w:val="false"/>
                <w:bCs w:val="false"/>
              </w:rPr>
              <w:t xml:space="preserve">Grady Archie, Research Scientist</w:t>
            </w:r>
          </w:p>
        </w:tc>
      </w:tr>
      <w:tr>
        <w:tc>
          <w:tcPr>
            <w:tcW w:type="dxa" w:w="3000"/>
          </w:tcPr>
          <w:p>
            <w:r>
              <w:rPr>
                <w:b w:val="false"/>
                <w:bCs w:val="false"/>
              </w:rPr>
              <w:t xml:space="preserve">Classification</w:t>
            </w:r>
          </w:p>
        </w:tc>
        <w:tc>
          <w:tcPr>
            <w:tcW w:type="dxa" w:w="6360"/>
          </w:tcPr>
          <w:p>
            <w:r>
              <w:rPr>
                <w:b w:val="false"/>
                <w:bCs w:val="false"/>
              </w:rPr>
              <w:t xml:space="preserve">Highly Confidential – Research</w:t>
            </w:r>
          </w:p>
        </w:tc>
      </w:tr>
      <w:tr>
        <w:tc>
          <w:tcPr>
            <w:tcW w:type="dxa" w:w="3000"/>
          </w:tcPr>
          <w:p>
            <w:r>
              <w:rPr>
                <w:b w:val="false"/>
                <w:bCs w:val="false"/>
              </w:rPr>
              <w:t xml:space="preserve">Distribution</w:t>
            </w:r>
          </w:p>
        </w:tc>
        <w:tc>
          <w:tcPr>
            <w:tcW w:type="dxa" w:w="6360"/>
          </w:tcPr>
          <w:p>
            <w:r>
              <w:rPr>
                <w:b w:val="false"/>
                <w:bCs w:val="false"/>
              </w:rPr>
              <w:t xml:space="preserve">Research staff only — do not distribute</w:t>
            </w:r>
          </w:p>
        </w:tc>
      </w:tr>
    </w:tbl>
    <w:p>
      <w:pPr>
        <w:spacing w:after="120"/>
      </w:pPr>
      <w:r>
        <w:t xml:space="preserve"/>
      </w:r>
    </w:p>
    <w:p>
      <w:pPr>
        <w:spacing w:after="120"/>
      </w:pPr>
      <w:r>
        <w:rPr>
          <w:i/>
          <w:iCs/>
          <w:color w:val="595959"/>
          <w:sz w:val="18"/>
          <w:szCs w:val="18"/>
        </w:rPr>
        <w:t xml:space="preserve">This document contains fictional data created solely for a training lab. It does not describe a real compound, formulation, or clinical program.</w:t>
      </w:r>
    </w:p>
    <w:p>
      <w:pPr>
        <w:pStyle w:val="Heading1"/>
        <w:spacing w:after="120" w:before="240"/>
      </w:pPr>
      <w:r>
        <w:rPr>
          <w:b/>
          <w:bCs/>
          <w:color w:val="1F3864"/>
        </w:rPr>
        <w:t xml:space="preserve">1. Purpose</w:t>
      </w:r>
    </w:p>
    <w:p>
      <w:pPr>
        <w:spacing w:after="120"/>
      </w:pPr>
      <w:r>
        <w:t xml:space="preserve">This record summarizes the formulation process and pre-publication development data for investigational compound CX-2087, the lead candidate in Program Mark 8. The information here is pre-decisional and constitutes material non-public information. Access is restricted to authorized research staff.</w:t>
      </w:r>
    </w:p>
    <w:p>
      <w:pPr>
        <w:pStyle w:val="Heading1"/>
        <w:spacing w:after="120" w:before="240"/>
      </w:pPr>
      <w:r>
        <w:rPr>
          <w:b/>
          <w:bCs/>
          <w:color w:val="1F3864"/>
        </w:rPr>
        <w:t xml:space="preserve">2. Compound overview</w:t>
      </w:r>
    </w:p>
    <w:p>
      <w:pPr>
        <w:spacing w:after="120"/>
      </w:pPr>
      <w:r>
        <w:t xml:space="preserve">CX-2087 is a small-molecule candidate under evaluation in the Mark 8 Phase III program under protocol PRO-MK8-014. The formulation described below is proprietary and represents the current process of record for clinical supply manufacturing.</w:t>
      </w:r>
    </w:p>
    <w:p>
      <w:pPr>
        <w:pStyle w:val="Heading1"/>
        <w:spacing w:after="120" w:before="240"/>
      </w:pPr>
      <w:r>
        <w:rPr>
          <w:b/>
          <w:bCs/>
          <w:color w:val="1F3864"/>
        </w:rPr>
        <w:t xml:space="preserve">3. Formulation composition</w:t>
      </w:r>
    </w:p>
    <w:p>
      <w:pPr>
        <w:spacing w:after="120"/>
      </w:pPr>
      <w:r>
        <w:t xml:space="preserve">The drug product is a film-coated immediate-release tablet. The quantitative composition of the process of record is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shd w:fill="D9E2F3" w:val="clear"/>
          </w:tcPr>
          <w:p>
            <w:r>
              <w:rPr>
                <w:b/>
                <w:bCs/>
              </w:rPr>
              <w:t xml:space="preserve">Component</w:t>
            </w:r>
          </w:p>
        </w:tc>
        <w:tc>
          <w:tcPr>
            <w:tcW w:type="dxa" w:w="2340"/>
            <w:shd w:fill="D9E2F3" w:val="clear"/>
          </w:tcPr>
          <w:p>
            <w:r>
              <w:rPr>
                <w:b/>
                <w:bCs/>
              </w:rPr>
              <w:t xml:space="preserve">Function</w:t>
            </w:r>
          </w:p>
        </w:tc>
        <w:tc>
          <w:tcPr>
            <w:tcW w:type="dxa" w:w="2340"/>
            <w:shd w:fill="D9E2F3" w:val="clear"/>
          </w:tcPr>
          <w:p>
            <w:r>
              <w:rPr>
                <w:b/>
                <w:bCs/>
              </w:rPr>
              <w:t xml:space="preserve">% w/w</w:t>
            </w:r>
          </w:p>
        </w:tc>
      </w:tr>
      <w:tr>
        <w:tc>
          <w:tcPr>
            <w:tcW w:type="dxa" w:w="4680"/>
          </w:tcPr>
          <w:p>
            <w:r>
              <w:t xml:space="preserve">CX-2087 active substance</w:t>
            </w:r>
          </w:p>
        </w:tc>
        <w:tc>
          <w:tcPr>
            <w:tcW w:type="dxa" w:w="2340"/>
          </w:tcPr>
          <w:p>
            <w:r>
              <w:t xml:space="preserve">Active</w:t>
            </w:r>
          </w:p>
        </w:tc>
        <w:tc>
          <w:tcPr>
            <w:tcW w:type="dxa" w:w="2340"/>
          </w:tcPr>
          <w:p>
            <w:r>
              <w:t xml:space="preserve">18.0</w:t>
            </w:r>
          </w:p>
        </w:tc>
      </w:tr>
      <w:tr>
        <w:tc>
          <w:tcPr>
            <w:tcW w:type="dxa" w:w="4680"/>
          </w:tcPr>
          <w:p>
            <w:r>
              <w:t xml:space="preserve">Microcrystalline cellulose</w:t>
            </w:r>
          </w:p>
        </w:tc>
        <w:tc>
          <w:tcPr>
            <w:tcW w:type="dxa" w:w="2340"/>
          </w:tcPr>
          <w:p>
            <w:r>
              <w:t xml:space="preserve">Diluent</w:t>
            </w:r>
          </w:p>
        </w:tc>
        <w:tc>
          <w:tcPr>
            <w:tcW w:type="dxa" w:w="2340"/>
          </w:tcPr>
          <w:p>
            <w:r>
              <w:t xml:space="preserve">52.5</w:t>
            </w:r>
          </w:p>
        </w:tc>
      </w:tr>
      <w:tr>
        <w:tc>
          <w:tcPr>
            <w:tcW w:type="dxa" w:w="4680"/>
          </w:tcPr>
          <w:p>
            <w:r>
              <w:t xml:space="preserve">Lactose monohydrate</w:t>
            </w:r>
          </w:p>
        </w:tc>
        <w:tc>
          <w:tcPr>
            <w:tcW w:type="dxa" w:w="2340"/>
          </w:tcPr>
          <w:p>
            <w:r>
              <w:t xml:space="preserve">Diluent</w:t>
            </w:r>
          </w:p>
        </w:tc>
        <w:tc>
          <w:tcPr>
            <w:tcW w:type="dxa" w:w="2340"/>
          </w:tcPr>
          <w:p>
            <w:r>
              <w:t xml:space="preserve">20.0</w:t>
            </w:r>
          </w:p>
        </w:tc>
      </w:tr>
      <w:tr>
        <w:tc>
          <w:tcPr>
            <w:tcW w:type="dxa" w:w="4680"/>
          </w:tcPr>
          <w:p>
            <w:r>
              <w:t xml:space="preserve">Croscarmellose sodium</w:t>
            </w:r>
          </w:p>
        </w:tc>
        <w:tc>
          <w:tcPr>
            <w:tcW w:type="dxa" w:w="2340"/>
          </w:tcPr>
          <w:p>
            <w:r>
              <w:t xml:space="preserve">Disintegrant</w:t>
            </w:r>
          </w:p>
        </w:tc>
        <w:tc>
          <w:tcPr>
            <w:tcW w:type="dxa" w:w="2340"/>
          </w:tcPr>
          <w:p>
            <w:r>
              <w:t xml:space="preserve">5.0</w:t>
            </w:r>
          </w:p>
        </w:tc>
      </w:tr>
      <w:tr>
        <w:tc>
          <w:tcPr>
            <w:tcW w:type="dxa" w:w="4680"/>
          </w:tcPr>
          <w:p>
            <w:r>
              <w:t xml:space="preserve">Magnesium stearate</w:t>
            </w:r>
          </w:p>
        </w:tc>
        <w:tc>
          <w:tcPr>
            <w:tcW w:type="dxa" w:w="2340"/>
          </w:tcPr>
          <w:p>
            <w:r>
              <w:t xml:space="preserve">Lubricant</w:t>
            </w:r>
          </w:p>
        </w:tc>
        <w:tc>
          <w:tcPr>
            <w:tcW w:type="dxa" w:w="2340"/>
          </w:tcPr>
          <w:p>
            <w:r>
              <w:t xml:space="preserve">1.5</w:t>
            </w:r>
          </w:p>
        </w:tc>
      </w:tr>
      <w:tr>
        <w:tc>
          <w:tcPr>
            <w:tcW w:type="dxa" w:w="4680"/>
          </w:tcPr>
          <w:p>
            <w:r>
              <w:t xml:space="preserve">Film coat system</w:t>
            </w:r>
          </w:p>
        </w:tc>
        <w:tc>
          <w:tcPr>
            <w:tcW w:type="dxa" w:w="2340"/>
          </w:tcPr>
          <w:p>
            <w:r>
              <w:t xml:space="preserve">Coating</w:t>
            </w:r>
          </w:p>
        </w:tc>
        <w:tc>
          <w:tcPr>
            <w:tcW w:type="dxa" w:w="2340"/>
          </w:tcPr>
          <w:p>
            <w:r>
              <w:t xml:space="preserve">3.0</w:t>
            </w:r>
          </w:p>
        </w:tc>
      </w:tr>
    </w:tbl>
    <w:p>
      <w:pPr>
        <w:pStyle w:val="Heading1"/>
        <w:spacing w:after="120" w:before="240"/>
      </w:pPr>
      <w:r>
        <w:rPr>
          <w:b/>
          <w:bCs/>
          <w:color w:val="1F3864"/>
        </w:rPr>
        <w:t xml:space="preserve">4. Process of record (summary)</w:t>
      </w:r>
    </w:p>
    <w:p>
      <w:pPr>
        <w:pStyle w:val="ListParagraph"/>
        <w:numPr>
          <w:ilvl w:val="0"/>
          <w:numId w:val="1"/>
        </w:numPr>
        <w:spacing w:after="60"/>
      </w:pPr>
      <w:r>
        <w:t xml:space="preserve">Step 1 — Dispensing and sieving of CX-2087 active substance and intragranular excipients.</w:t>
      </w:r>
    </w:p>
    <w:p>
      <w:pPr>
        <w:pStyle w:val="ListParagraph"/>
        <w:numPr>
          <w:ilvl w:val="0"/>
          <w:numId w:val="1"/>
        </w:numPr>
        <w:spacing w:after="60"/>
      </w:pPr>
      <w:r>
        <w:t xml:space="preserve">Step 2 — High-shear wet granulation with purified water as granulating fluid.</w:t>
      </w:r>
    </w:p>
    <w:p>
      <w:pPr>
        <w:pStyle w:val="ListParagraph"/>
        <w:numPr>
          <w:ilvl w:val="0"/>
          <w:numId w:val="1"/>
        </w:numPr>
        <w:spacing w:after="60"/>
      </w:pPr>
      <w:r>
        <w:t xml:space="preserve">Step 3 — Fluid-bed drying to target loss-on-drying, followed by milling.</w:t>
      </w:r>
    </w:p>
    <w:p>
      <w:pPr>
        <w:pStyle w:val="ListParagraph"/>
        <w:numPr>
          <w:ilvl w:val="0"/>
          <w:numId w:val="1"/>
        </w:numPr>
        <w:spacing w:after="60"/>
      </w:pPr>
      <w:r>
        <w:t xml:space="preserve">Step 4 — Blending with extragranular disintegrant and lubricant.</w:t>
      </w:r>
    </w:p>
    <w:p>
      <w:pPr>
        <w:pStyle w:val="ListParagraph"/>
        <w:numPr>
          <w:ilvl w:val="0"/>
          <w:numId w:val="1"/>
        </w:numPr>
        <w:spacing w:after="60"/>
      </w:pPr>
      <w:r>
        <w:t xml:space="preserve">Step 5 — Compression to target tablet weight and hardness.</w:t>
      </w:r>
    </w:p>
    <w:p>
      <w:pPr>
        <w:pStyle w:val="ListParagraph"/>
        <w:numPr>
          <w:ilvl w:val="0"/>
          <w:numId w:val="1"/>
        </w:numPr>
        <w:spacing w:after="60"/>
      </w:pPr>
      <w:r>
        <w:t xml:space="preserve">Step 6 — Aqueous film coating to target weight gain.</w:t>
      </w:r>
    </w:p>
    <w:p>
      <w:pPr>
        <w:pStyle w:val="Heading1"/>
        <w:spacing w:after="120" w:before="240"/>
      </w:pPr>
      <w:r>
        <w:rPr>
          <w:b/>
          <w:bCs/>
          <w:color w:val="1F3864"/>
        </w:rPr>
        <w:t xml:space="preserve">5. Critical process parameters</w:t>
      </w:r>
    </w:p>
    <w:p>
      <w:pPr>
        <w:spacing w:after="120"/>
      </w:pPr>
      <w:r>
        <w:t xml:space="preserve">The following parameters are designated critical for CX-2087 clinical supply and are controlled within the ranges established during process characterization. Specific set points are held in the controlled batch record and are omitted from this summary.</w:t>
      </w:r>
    </w:p>
    <w:p>
      <w:pPr>
        <w:pStyle w:val="ListParagraph"/>
        <w:numPr>
          <w:ilvl w:val="0"/>
          <w:numId w:val="1"/>
        </w:numPr>
        <w:spacing w:after="60"/>
      </w:pPr>
      <w:r>
        <w:t xml:space="preserve">Granulation end-point (power/torque).</w:t>
      </w:r>
    </w:p>
    <w:p>
      <w:pPr>
        <w:pStyle w:val="ListParagraph"/>
        <w:numPr>
          <w:ilvl w:val="0"/>
          <w:numId w:val="1"/>
        </w:numPr>
        <w:spacing w:after="60"/>
      </w:pPr>
      <w:r>
        <w:t xml:space="preserve">Drying end-point (loss on drying).</w:t>
      </w:r>
    </w:p>
    <w:p>
      <w:pPr>
        <w:pStyle w:val="ListParagraph"/>
        <w:numPr>
          <w:ilvl w:val="0"/>
          <w:numId w:val="1"/>
        </w:numPr>
        <w:spacing w:after="60"/>
      </w:pPr>
      <w:r>
        <w:t xml:space="preserve">Blend uniformity and final lubrication time.</w:t>
      </w:r>
    </w:p>
    <w:p>
      <w:pPr>
        <w:pStyle w:val="ListParagraph"/>
        <w:numPr>
          <w:ilvl w:val="0"/>
          <w:numId w:val="1"/>
        </w:numPr>
        <w:spacing w:after="60"/>
      </w:pPr>
      <w:r>
        <w:t xml:space="preserve">Compression force and resulting tablet hardness.</w:t>
      </w:r>
    </w:p>
    <w:p>
      <w:pPr>
        <w:pStyle w:val="Heading1"/>
        <w:spacing w:after="120" w:before="240"/>
      </w:pPr>
      <w:r>
        <w:rPr>
          <w:b/>
          <w:bCs/>
          <w:color w:val="1F3864"/>
        </w:rPr>
        <w:t xml:space="preserve">6. Pre-publication development note</w:t>
      </w:r>
    </w:p>
    <w:p>
      <w:pPr>
        <w:spacing w:after="120"/>
      </w:pPr>
      <w:r>
        <w:t xml:space="preserve">Interim Phase III data for CX-2087 under Program Mark 8 remains pre-publication and has not been disclosed to regulators or markets. Any reference to efficacy endpoints, unblinding status, or interim results derived from this compound must be treated as confidential and handled only within authorized research channels.</w:t>
      </w:r>
    </w:p>
    <w:p>
      <w:pPr>
        <w:pBdr>
          <w:top w:val="single" w:color="1F3864" w:sz="6" w:space="6"/>
        </w:pBdr>
        <w:spacing w:before="360"/>
        <w:jc w:val="center"/>
      </w:pPr>
      <w:r>
        <w:rPr>
          <w:color w:val="595959"/>
          <w:sz w:val="16"/>
          <w:szCs w:val="16"/>
        </w:rPr>
        <w:t xml:space="preserve">Contoso Confidential — Highly Confidential – Research — Do Not Distribute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1352BD38761E44BED540C0DF005166" ma:contentTypeVersion="36" ma:contentTypeDescription="Create a new document." ma:contentTypeScope="" ma:versionID="769c67f4c7cfc01a545acd4c51b27e02">
  <xsd:schema xmlns:xsd="http://www.w3.org/2001/XMLSchema" xmlns:xs="http://www.w3.org/2001/XMLSchema" xmlns:p="http://schemas.microsoft.com/office/2006/metadata/properties" xmlns:ns1="http://schemas.microsoft.com/sharepoint/v3" xmlns:ns2="8ef809a0-ee5c-4f7c-93f4-54335103f45d" xmlns:ns3="7d8eff29-6c54-442a-b227-cf62f770eb0b" targetNamespace="http://schemas.microsoft.com/office/2006/metadata/properties" ma:root="true" ma:fieldsID="7a45fe52ca0bcc6c380d0b69933802b0" ns1:_="" ns2:_="" ns3:_="">
    <xsd:import namespace="http://schemas.microsoft.com/sharepoint/v3"/>
    <xsd:import namespace="8ef809a0-ee5c-4f7c-93f4-54335103f45d"/>
    <xsd:import namespace="7d8eff29-6c54-442a-b227-cf62f770eb0b"/>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Event" minOccurs="0"/>
                <xsd:element ref="ns2:MediaServiceSearchProperties" minOccurs="0"/>
                <xsd:element ref="ns2:CourseExecutionStartDate" minOccurs="0"/>
                <xsd:element ref="ns2:WorkshopExecutionDescription" minOccurs="0"/>
                <xsd:element ref="ns2:Country_x002f_regionofExecution" minOccurs="0"/>
                <xsd:element ref="ns2:f6418541-2d6e-4e1a-99dd-033c96f75490CountryOrRegion" minOccurs="0"/>
                <xsd:element ref="ns2:f6418541-2d6e-4e1a-99dd-033c96f75490State" minOccurs="0"/>
                <xsd:element ref="ns2:f6418541-2d6e-4e1a-99dd-033c96f75490City" minOccurs="0"/>
                <xsd:element ref="ns2:f6418541-2d6e-4e1a-99dd-033c96f75490PostalCode" minOccurs="0"/>
                <xsd:element ref="ns2:f6418541-2d6e-4e1a-99dd-033c96f75490Street" minOccurs="0"/>
                <xsd:element ref="ns2:f6418541-2d6e-4e1a-99dd-033c96f75490GeoLoc" minOccurs="0"/>
                <xsd:element ref="ns2:f6418541-2d6e-4e1a-99dd-033c96f75490DispName" minOccurs="0"/>
                <xsd:element ref="ns2:ContentReferenceLinkOnOD" minOccurs="0"/>
                <xsd:element ref="ns2:MediaServiceObjectDetectorVersions" minOccurs="0"/>
                <xsd:element ref="ns2:TranslatedLang" minOccurs="0"/>
                <xsd:element ref="ns2:MediaServiceBillingMetadata" minOccurs="0"/>
                <xsd:element ref="ns2:_Flow_SignoffStatus" minOccurs="0"/>
                <xsd:element ref="ns2:NextActionRequestedfro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f809a0-ee5c-4f7c-93f4-54335103f4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30277b3-e6f5-42ab-ac40-238f948c8d3f"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ternalName="MediaServiceDateTaken" ma:readOnly="true">
      <xsd:simpleType>
        <xsd:restriction base="dms:Text"/>
      </xsd:simpleType>
    </xsd:element>
    <xsd:element name="Event" ma:index="24" nillable="true" ma:displayName="Event" ma:default="Other" ma:format="Dropdown" ma:internalName="Event">
      <xsd:simpleType>
        <xsd:restriction base="dms:Choice">
          <xsd:enumeration value="Depth"/>
          <xsd:enumeration value="MCLP"/>
          <xsd:enumeration value="Other"/>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CourseExecutionStartDate" ma:index="26" nillable="true" ma:displayName="CourseExecutionStartDate" ma:description="Emter the start date of this execution" ma:format="DateOnly" ma:internalName="CourseExecutionStartDate">
      <xsd:simpleType>
        <xsd:restriction base="dms:DateTime"/>
      </xsd:simpleType>
    </xsd:element>
    <xsd:element name="WorkshopExecutionDescription" ma:index="27" nillable="true" ma:displayName="Workshop Execution Description" ma:description="Which workshop was executed?" ma:format="Dropdown" ma:internalName="WorkshopExecutionDescription">
      <xsd:simpleType>
        <xsd:restriction base="dms:Note">
          <xsd:maxLength value="255"/>
        </xsd:restriction>
      </xsd:simpleType>
    </xsd:element>
    <xsd:element name="Country_x002f_regionofExecution" ma:index="28" nillable="true" ma:displayName="Country/region of Execution" ma:description="Provide country name" ma:format="Dropdown" ma:internalName="Country_x002f_regionofExecution">
      <xsd:simpleType>
        <xsd:restriction base="dms:Unknown"/>
      </xsd:simpleType>
    </xsd:element>
    <xsd:element name="f6418541-2d6e-4e1a-99dd-033c96f75490CountryOrRegion" ma:index="29" nillable="true" ma:displayName="Country/region of Execution: Country/Region" ma:internalName="CountryOrRegion" ma:readOnly="true">
      <xsd:simpleType>
        <xsd:restriction base="dms:Text"/>
      </xsd:simpleType>
    </xsd:element>
    <xsd:element name="f6418541-2d6e-4e1a-99dd-033c96f75490State" ma:index="30" nillable="true" ma:displayName="Country/region of Execution: State" ma:internalName="State" ma:readOnly="true">
      <xsd:simpleType>
        <xsd:restriction base="dms:Text"/>
      </xsd:simpleType>
    </xsd:element>
    <xsd:element name="f6418541-2d6e-4e1a-99dd-033c96f75490City" ma:index="31" nillable="true" ma:displayName="Country/region of Execution: City" ma:internalName="City" ma:readOnly="true">
      <xsd:simpleType>
        <xsd:restriction base="dms:Text"/>
      </xsd:simpleType>
    </xsd:element>
    <xsd:element name="f6418541-2d6e-4e1a-99dd-033c96f75490PostalCode" ma:index="32" nillable="true" ma:displayName="Country/region of Execution: Postal Code" ma:internalName="PostalCode" ma:readOnly="true">
      <xsd:simpleType>
        <xsd:restriction base="dms:Text"/>
      </xsd:simpleType>
    </xsd:element>
    <xsd:element name="f6418541-2d6e-4e1a-99dd-033c96f75490Street" ma:index="33" nillable="true" ma:displayName="Country/region of Execution: Street" ma:internalName="Street" ma:readOnly="true">
      <xsd:simpleType>
        <xsd:restriction base="dms:Text"/>
      </xsd:simpleType>
    </xsd:element>
    <xsd:element name="f6418541-2d6e-4e1a-99dd-033c96f75490GeoLoc" ma:index="34" nillable="true" ma:displayName="Country/region of Execution: Coordinates" ma:internalName="GeoLoc" ma:readOnly="true">
      <xsd:simpleType>
        <xsd:restriction base="dms:Unknown"/>
      </xsd:simpleType>
    </xsd:element>
    <xsd:element name="f6418541-2d6e-4e1a-99dd-033c96f75490DispName" ma:index="35" nillable="true" ma:displayName="Country/region of Execution: Name" ma:internalName="DispName" ma:readOnly="true">
      <xsd:simpleType>
        <xsd:restriction base="dms:Text"/>
      </xsd:simpleType>
    </xsd:element>
    <xsd:element name="ContentReferenceLinkOnOD" ma:index="36" nillable="true" ma:displayName="ContentReferenceLinkOnOD" ma:format="Hyperlink" ma:internalName="ContentReferenceLinkOnOD">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TranslatedLang" ma:index="38" nillable="true" ma:displayName="Translated Language" ma:internalName="TranslatedLang">
      <xsd:simpleType>
        <xsd:restriction base="dms:Text"/>
      </xsd:simpleType>
    </xsd:element>
    <xsd:element name="MediaServiceBillingMetadata" ma:index="39" nillable="true" ma:displayName="MediaServiceBillingMetadata" ma:hidden="true" ma:internalName="MediaServiceBillingMetadata" ma:readOnly="true">
      <xsd:simpleType>
        <xsd:restriction base="dms:Note"/>
      </xsd:simpleType>
    </xsd:element>
    <xsd:element name="_Flow_SignoffStatus" ma:index="40" nillable="true" ma:displayName="Sign-off status" ma:internalName="_x0024_Resources_x003a_core_x002c_Signoff_Status">
      <xsd:simpleType>
        <xsd:restriction base="dms:Text"/>
      </xsd:simpleType>
    </xsd:element>
    <xsd:element name="NextActionRequestedfrom" ma:index="41" nillable="true" ma:displayName="Next Action Requested from" ma:description="Next Action Requested from" ma:format="Dropdown" ma:list="UserInfo" ma:SharePointGroup="0" ma:internalName="NextActionRequestedfro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d8eff29-6c54-442a-b227-cf62f770eb0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63424b3-6fb7-4327-91fa-701da450a148}" ma:internalName="TaxCatchAll" ma:showField="CatchAllData" ma:web="7d8eff29-6c54-442a-b227-cf62f770eb0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ef809a0-ee5c-4f7c-93f4-54335103f45d">
      <Terms xmlns="http://schemas.microsoft.com/office/infopath/2007/PartnerControls"/>
    </lcf76f155ced4ddcb4097134ff3c332f>
    <_ip_UnifiedCompliancePolicyUIAction xmlns="http://schemas.microsoft.com/sharepoint/v3" xsi:nil="true"/>
    <_Flow_SignoffStatus xmlns="8ef809a0-ee5c-4f7c-93f4-54335103f45d" xsi:nil="true"/>
    <ContentReferenceLinkOnOD xmlns="8ef809a0-ee5c-4f7c-93f4-54335103f45d">
      <Url xsi:nil="true"/>
      <Description xsi:nil="true"/>
    </ContentReferenceLinkOnOD>
    <TranslatedLang xmlns="8ef809a0-ee5c-4f7c-93f4-54335103f45d" xsi:nil="true"/>
    <Event xmlns="8ef809a0-ee5c-4f7c-93f4-54335103f45d">Other</Event>
    <WorkshopExecutionDescription xmlns="8ef809a0-ee5c-4f7c-93f4-54335103f45d" xsi:nil="true"/>
    <_ip_UnifiedCompliancePolicyProperties xmlns="http://schemas.microsoft.com/sharepoint/v3" xsi:nil="true"/>
    <CourseExecutionStartDate xmlns="8ef809a0-ee5c-4f7c-93f4-54335103f45d" xsi:nil="true"/>
    <NextActionRequestedfrom xmlns="8ef809a0-ee5c-4f7c-93f4-54335103f45d">
      <UserInfo>
        <DisplayName/>
        <AccountId xsi:nil="true"/>
        <AccountType/>
      </UserInfo>
    </NextActionRequestedfrom>
    <TaxCatchAll xmlns="7d8eff29-6c54-442a-b227-cf62f770eb0b" xsi:nil="true"/>
    <Country_x002f_regionofExecution xmlns="8ef809a0-ee5c-4f7c-93f4-54335103f45d" xsi:nil="true"/>
  </documentManagement>
</p:properties>
</file>

<file path=customXml/itemProps1.xml><?xml version="1.0" encoding="utf-8"?>
<ds:datastoreItem xmlns:ds="http://schemas.openxmlformats.org/officeDocument/2006/customXml" ds:itemID="{7F412B7E-0AB1-48CE-AEC3-48E68A0E9401}"/>
</file>

<file path=customXml/itemProps2.xml><?xml version="1.0" encoding="utf-8"?>
<ds:datastoreItem xmlns:ds="http://schemas.openxmlformats.org/officeDocument/2006/customXml" ds:itemID="{C2456521-5976-465B-9628-BE52DD0F1763}"/>
</file>

<file path=customXml/itemProps3.xml><?xml version="1.0" encoding="utf-8"?>
<ds:datastoreItem xmlns:ds="http://schemas.openxmlformats.org/officeDocument/2006/customXml" ds:itemID="{15821C9C-E6E5-48AF-908C-06E7EC1DA1F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CX-2087 Formulation Process</dc:title>
  <dc:creator>Contoso Pharmaceuticals</dc:creator>
  <dc:description>Fictional lab data for training purposes only.</dc:description>
  <cp:lastModifiedBy>Un-named</cp:lastModifiedBy>
  <cp:revision>1</cp:revision>
  <dcterms:created xsi:type="dcterms:W3CDTF">2026-07-21T12:52:21Z</dcterms:created>
  <dcterms:modified xsi:type="dcterms:W3CDTF">2026-07-21T12:52:21Z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0x010100791352BD38761E44BED540C0DF005166</vt:lpwstr>
  </property>
</Properties>
</file>