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HIPAA Compliance Policy</w:t>
      </w:r>
    </w:p>
    <w:p>
      <w:r>
        <w:t>Department: Compliance</w:t>
      </w:r>
    </w:p>
    <w:p>
      <w:r>
        <w:t>Document date: 2024-03-10</w:t>
      </w:r>
    </w:p>
    <w:p>
      <w:r>
        <w:t>Last reviewed: 2024-03-10</w:t>
      </w:r>
    </w:p>
    <w:p>
      <w:r>
        <w:t>This policy establishes the clinic's procedures for safeguarding protected health information (PHI), including access controls, breach notification timelines, and staff training requirements under HIPAA.</w:t>
      </w:r>
    </w:p>
    <w:p>
      <w:r>
        <w:t>Next scheduled review: 2025-03-10 (overdue).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C4F115-4050-4430-94DD-179B576C2C1A}"/>
</file>

<file path=customXml/itemProps3.xml><?xml version="1.0" encoding="utf-8"?>
<ds:datastoreItem xmlns:ds="http://schemas.openxmlformats.org/officeDocument/2006/customXml" ds:itemID="{B10F1909-2A2E-4A74-9CB7-5980E4C916CB}"/>
</file>

<file path=customXml/itemProps4.xml><?xml version="1.0" encoding="utf-8"?>
<ds:datastoreItem xmlns:ds="http://schemas.openxmlformats.org/officeDocument/2006/customXml" ds:itemID="{2AA330C2-3745-455B-AD97-77CB791003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