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and Safety Review — Clinical Policy</w:t>
      </w:r>
    </w:p>
    <w:p>
      <w:r>
        <w:t>Department: Clinical Policy / Quality &amp; Safety</w:t>
      </w:r>
    </w:p>
    <w:p>
      <w:r>
        <w:t>Document date: 2026-05-20</w:t>
      </w:r>
    </w:p>
    <w:p>
      <w:r>
        <w:t>Quarterly quality and safety review covering incident reports, patient-safety near-misses, and clinical policy updates for the outpatient clinics.</w:t>
      </w:r>
    </w:p>
    <w:p>
      <w:r>
        <w:t>Two policy updates recommended: intake wait-time escalation and medication reconciliation double-check.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F27F3C-1540-4AB3-A0FD-6E23C05B91B2}"/>
</file>

<file path=customXml/itemProps3.xml><?xml version="1.0" encoding="utf-8"?>
<ds:datastoreItem xmlns:ds="http://schemas.openxmlformats.org/officeDocument/2006/customXml" ds:itemID="{BB0466AB-D254-49A9-BDF9-67E13D5FE483}"/>
</file>

<file path=customXml/itemProps4.xml><?xml version="1.0" encoding="utf-8"?>
<ds:datastoreItem xmlns:ds="http://schemas.openxmlformats.org/officeDocument/2006/customXml" ds:itemID="{C101CFF3-1680-4661-B11F-1340833E3B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