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Equipment Maintenance Schedule</w:t>
      </w:r>
    </w:p>
    <w:p>
      <w:r>
        <w:t>Department: Clinical Engineering / Medical Equipment</w:t>
      </w:r>
    </w:p>
    <w:p>
      <w:r>
        <w:t>Document date: 2026-03-01</w:t>
      </w:r>
    </w:p>
    <w:p>
      <w:r>
        <w:t>Preventive maintenance schedule for clinical equipment across Clinic A and Clinic B, including service intervals and vendor contacts for the defibrillator and ultrasound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43CA70-FA9A-4C15-A16C-1AE0A68FF0E1}"/>
</file>

<file path=customXml/itemProps3.xml><?xml version="1.0" encoding="utf-8"?>
<ds:datastoreItem xmlns:ds="http://schemas.openxmlformats.org/officeDocument/2006/customXml" ds:itemID="{F885DD10-17DB-4835-885A-46ED79711D69}"/>
</file>

<file path=customXml/itemProps4.xml><?xml version="1.0" encoding="utf-8"?>
<ds:datastoreItem xmlns:ds="http://schemas.openxmlformats.org/officeDocument/2006/customXml" ds:itemID="{080079D2-1A79-4994-A0B3-D42E852C54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