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sz w:val="44"/>
        </w:rPr>
        <w:t>Relecloud business perspective</w:t>
      </w:r>
    </w:p>
    <w:p>
      <w:pPr>
        <w:jc w:val="center"/>
      </w:pPr>
      <w:r>
        <w:rPr>
          <w:i/>
          <w:sz w:val="20"/>
        </w:rPr>
        <w:t>Confidential acquisition assessment | Zava Retail</w:t>
      </w:r>
    </w:p>
    <w:p>
      <w:r>
        <w:t>Purpose: Provide a self-contained business perspective that can be attached to Microsoft 365 Copilot Chat for the Lab 6 acquisition-analysis exercise. The lab asks Copilot to summarize financial data, operations, and an integration plan, then extend the analysis with charts, SWOT, scalability, and an integration timeline.</w:t>
      </w:r>
    </w:p>
    <w:p>
      <w:pPr>
        <w:pStyle w:val="Heading1"/>
      </w:pPr>
      <w:r>
        <w:t>1. Executive overview</w:t>
      </w:r>
    </w:p>
    <w:p>
      <w:r>
        <w:t>Relecloud Ltd. is a mid-market cloud software and managed platform company being considered for acquisition by Zava Retail. Its core proposition is a cloud operations platform that helps enterprise customers monitor workloads, automate deployment controls, and manage DevSecOps practices. Relecloud has a recurring-revenue model, a concentrated enterprise customer base, and a technically strong product organization. The strategic rationale for acquisition is to accelerate Zava Retail's digital modernization, strengthen cloud engineering capabilities, and create a reusable technology platform for retail operations.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rFonts w:ascii="Segoe UI" w:hAnsi="Segoe UI"/>
                <w:b/>
                <w:sz w:val="18"/>
              </w:rPr>
              <w:t>Dimension</w:t>
            </w:r>
          </w:p>
        </w:tc>
        <w:tc>
          <w:tcPr>
            <w:tcW w:type="dxa" w:w="5112"/>
            <w:vAlign w:val="center"/>
            <w:shd w:fill="D9EAF7"/>
          </w:tcPr>
          <w:p>
            <w:r>
              <w:rPr>
                <w:rFonts w:ascii="Segoe UI" w:hAnsi="Segoe UI"/>
                <w:b/>
                <w:sz w:val="18"/>
              </w:rPr>
              <w:t>Assessment</w:t>
            </w:r>
          </w:p>
        </w:tc>
      </w:tr>
      <w:tr>
        <w:tc>
          <w:tcPr>
            <w:tcW w:type="dxa" w:w="5112"/>
            <w:vAlign w:val="center"/>
          </w:tcPr>
          <w:p>
            <w:r>
              <w:rPr>
                <w:rFonts w:ascii="Segoe UI" w:hAnsi="Segoe UI"/>
                <w:sz w:val="18"/>
              </w:rPr>
              <w:t>Strategic fit</w:t>
            </w:r>
          </w:p>
        </w:tc>
        <w:tc>
          <w:tcPr>
            <w:tcW w:type="dxa" w:w="5112"/>
            <w:vAlign w:val="center"/>
          </w:tcPr>
          <w:p>
            <w:r>
              <w:rPr>
                <w:rFonts w:ascii="Segoe UI" w:hAnsi="Segoe UI"/>
                <w:sz w:val="18"/>
              </w:rPr>
              <w:t>Strong: cloud platform, automation, analytics, and DevSecOps capabilities complement Zava Retail's modernization agenda.</w:t>
            </w:r>
          </w:p>
        </w:tc>
      </w:tr>
      <w:tr>
        <w:tc>
          <w:tcPr>
            <w:tcW w:type="dxa" w:w="5112"/>
            <w:vAlign w:val="center"/>
          </w:tcPr>
          <w:p>
            <w:r>
              <w:rPr>
                <w:rFonts w:ascii="Segoe UI" w:hAnsi="Segoe UI"/>
                <w:sz w:val="18"/>
              </w:rPr>
              <w:t>Financial profile</w:t>
            </w:r>
          </w:p>
        </w:tc>
        <w:tc>
          <w:tcPr>
            <w:tcW w:type="dxa" w:w="5112"/>
            <w:vAlign w:val="center"/>
          </w:tcPr>
          <w:p>
            <w:r>
              <w:rPr>
                <w:rFonts w:ascii="Segoe UI" w:hAnsi="Segoe UI"/>
                <w:sz w:val="18"/>
              </w:rPr>
              <w:t>Growing recurring revenue with improving EBITDA, but customer concentration and integration costs require diligence.</w:t>
            </w:r>
          </w:p>
        </w:tc>
      </w:tr>
      <w:tr>
        <w:tc>
          <w:tcPr>
            <w:tcW w:type="dxa" w:w="5112"/>
            <w:vAlign w:val="center"/>
          </w:tcPr>
          <w:p>
            <w:r>
              <w:rPr>
                <w:rFonts w:ascii="Segoe UI" w:hAnsi="Segoe UI"/>
                <w:sz w:val="18"/>
              </w:rPr>
              <w:t>Operations</w:t>
            </w:r>
          </w:p>
        </w:tc>
        <w:tc>
          <w:tcPr>
            <w:tcW w:type="dxa" w:w="5112"/>
            <w:vAlign w:val="center"/>
          </w:tcPr>
          <w:p>
            <w:r>
              <w:rPr>
                <w:rFonts w:ascii="Segoe UI" w:hAnsi="Segoe UI"/>
                <w:sz w:val="18"/>
              </w:rPr>
              <w:t>Technically capable organization with scalable cloud infrastructure; process maturity varies by function.</w:t>
            </w:r>
          </w:p>
        </w:tc>
      </w:tr>
      <w:tr>
        <w:tc>
          <w:tcPr>
            <w:tcW w:type="dxa" w:w="5112"/>
            <w:vAlign w:val="center"/>
          </w:tcPr>
          <w:p>
            <w:r>
              <w:rPr>
                <w:rFonts w:ascii="Segoe UI" w:hAnsi="Segoe UI"/>
                <w:sz w:val="18"/>
              </w:rPr>
              <w:t>Key risks</w:t>
            </w:r>
          </w:p>
        </w:tc>
        <w:tc>
          <w:tcPr>
            <w:tcW w:type="dxa" w:w="5112"/>
            <w:vAlign w:val="center"/>
          </w:tcPr>
          <w:p>
            <w:r>
              <w:rPr>
                <w:rFonts w:ascii="Segoe UI" w:hAnsi="Segoe UI"/>
                <w:sz w:val="18"/>
              </w:rPr>
              <w:t>Customer concentration, retention of technical talent, product overlap, integration complexity, and security/compliance diligence.</w:t>
            </w:r>
          </w:p>
        </w:tc>
      </w:tr>
      <w:tr>
        <w:tc>
          <w:tcPr>
            <w:tcW w:type="dxa" w:w="5112"/>
            <w:vAlign w:val="center"/>
          </w:tcPr>
          <w:p>
            <w:r>
              <w:rPr>
                <w:rFonts w:ascii="Segoe UI" w:hAnsi="Segoe UI"/>
                <w:sz w:val="18"/>
              </w:rPr>
              <w:t>Preliminary recommendation</w:t>
            </w:r>
          </w:p>
        </w:tc>
        <w:tc>
          <w:tcPr>
            <w:tcW w:type="dxa" w:w="5112"/>
            <w:vAlign w:val="center"/>
          </w:tcPr>
          <w:p>
            <w:r>
              <w:rPr>
                <w:rFonts w:ascii="Segoe UI" w:hAnsi="Segoe UI"/>
                <w:sz w:val="18"/>
              </w:rPr>
              <w:t>Proceed to structured diligence and integration planning; do not treat the figures as a final valuation or investment approval.</w:t>
            </w:r>
          </w:p>
        </w:tc>
      </w:tr>
    </w:tbl>
    <w:p/>
    <w:p>
      <w:pPr>
        <w:pStyle w:val="Heading1"/>
      </w:pPr>
      <w:r>
        <w:t>2. Company and market position</w:t>
      </w:r>
    </w:p>
    <w:p>
      <w:r>
        <w:t>Relecloud serves enterprise and upper-mid-market customers that need cloud observability, deployment automation, security controls, and operational analytics. Its differentiation is the combination of platform automation and DevSecOps workflow support rather than a single-point monitoring tool.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rFonts w:ascii="Segoe UI" w:hAnsi="Segoe UI"/>
                <w:b/>
                <w:sz w:val="18"/>
              </w:rPr>
              <w:t>Area</w:t>
            </w:r>
          </w:p>
        </w:tc>
        <w:tc>
          <w:tcPr>
            <w:tcW w:type="dxa" w:w="5112"/>
            <w:vAlign w:val="center"/>
            <w:shd w:fill="D9EAF7"/>
          </w:tcPr>
          <w:p>
            <w:r>
              <w:rPr>
                <w:rFonts w:ascii="Segoe UI" w:hAnsi="Segoe UI"/>
                <w:b/>
                <w:sz w:val="18"/>
              </w:rPr>
              <w:t>Business perspective</w:t>
            </w:r>
          </w:p>
        </w:tc>
      </w:tr>
      <w:tr>
        <w:tc>
          <w:tcPr>
            <w:tcW w:type="dxa" w:w="5112"/>
            <w:vAlign w:val="center"/>
          </w:tcPr>
          <w:p>
            <w:r>
              <w:rPr>
                <w:rFonts w:ascii="Segoe UI" w:hAnsi="Segoe UI"/>
                <w:sz w:val="18"/>
              </w:rPr>
              <w:t>Founded / scale</w:t>
            </w:r>
          </w:p>
        </w:tc>
        <w:tc>
          <w:tcPr>
            <w:tcW w:type="dxa" w:w="5112"/>
            <w:vAlign w:val="center"/>
          </w:tcPr>
          <w:p>
            <w:r>
              <w:rPr>
                <w:rFonts w:ascii="Segoe UI" w:hAnsi="Segoe UI"/>
                <w:sz w:val="18"/>
              </w:rPr>
              <w:t>Established cloud software company with approximately 620 employees across engineering, sales, customer success, operations, and corporate functions.</w:t>
            </w:r>
          </w:p>
        </w:tc>
      </w:tr>
      <w:tr>
        <w:tc>
          <w:tcPr>
            <w:tcW w:type="dxa" w:w="5112"/>
            <w:vAlign w:val="center"/>
          </w:tcPr>
          <w:p>
            <w:r>
              <w:rPr>
                <w:rFonts w:ascii="Segoe UI" w:hAnsi="Segoe UI"/>
                <w:sz w:val="18"/>
              </w:rPr>
              <w:t>Primary market</w:t>
            </w:r>
          </w:p>
        </w:tc>
        <w:tc>
          <w:tcPr>
            <w:tcW w:type="dxa" w:w="5112"/>
            <w:vAlign w:val="center"/>
          </w:tcPr>
          <w:p>
            <w:r>
              <w:rPr>
                <w:rFonts w:ascii="Segoe UI" w:hAnsi="Segoe UI"/>
                <w:sz w:val="18"/>
              </w:rPr>
              <w:t>Enterprise cloud operations, DevSecOps automation, observability, and managed platform services.</w:t>
            </w:r>
          </w:p>
        </w:tc>
      </w:tr>
      <w:tr>
        <w:tc>
          <w:tcPr>
            <w:tcW w:type="dxa" w:w="5112"/>
            <w:vAlign w:val="center"/>
          </w:tcPr>
          <w:p>
            <w:r>
              <w:rPr>
                <w:rFonts w:ascii="Segoe UI" w:hAnsi="Segoe UI"/>
                <w:sz w:val="18"/>
              </w:rPr>
              <w:t>Commercial model</w:t>
            </w:r>
          </w:p>
        </w:tc>
        <w:tc>
          <w:tcPr>
            <w:tcW w:type="dxa" w:w="5112"/>
            <w:vAlign w:val="center"/>
          </w:tcPr>
          <w:p>
            <w:r>
              <w:rPr>
                <w:rFonts w:ascii="Segoe UI" w:hAnsi="Segoe UI"/>
                <w:sz w:val="18"/>
              </w:rPr>
              <w:t>Subscription software plus professional/managed services.</w:t>
            </w:r>
          </w:p>
        </w:tc>
      </w:tr>
      <w:tr>
        <w:tc>
          <w:tcPr>
            <w:tcW w:type="dxa" w:w="5112"/>
            <w:vAlign w:val="center"/>
          </w:tcPr>
          <w:p>
            <w:r>
              <w:rPr>
                <w:rFonts w:ascii="Segoe UI" w:hAnsi="Segoe UI"/>
                <w:sz w:val="18"/>
              </w:rPr>
              <w:t>Customer profile</w:t>
            </w:r>
          </w:p>
        </w:tc>
        <w:tc>
          <w:tcPr>
            <w:tcW w:type="dxa" w:w="5112"/>
            <w:vAlign w:val="center"/>
          </w:tcPr>
          <w:p>
            <w:r>
              <w:rPr>
                <w:rFonts w:ascii="Segoe UI" w:hAnsi="Segoe UI"/>
                <w:sz w:val="18"/>
              </w:rPr>
              <w:t>Enterprise and upper-mid-market accounts with multi-year contracts.</w:t>
            </w:r>
          </w:p>
        </w:tc>
      </w:tr>
      <w:tr>
        <w:tc>
          <w:tcPr>
            <w:tcW w:type="dxa" w:w="5112"/>
            <w:vAlign w:val="center"/>
          </w:tcPr>
          <w:p>
            <w:r>
              <w:rPr>
                <w:rFonts w:ascii="Segoe UI" w:hAnsi="Segoe UI"/>
                <w:sz w:val="18"/>
              </w:rPr>
              <w:t>Competitive position</w:t>
            </w:r>
          </w:p>
        </w:tc>
        <w:tc>
          <w:tcPr>
            <w:tcW w:type="dxa" w:w="5112"/>
            <w:vAlign w:val="center"/>
          </w:tcPr>
          <w:p>
            <w:r>
              <w:rPr>
                <w:rFonts w:ascii="Segoe UI" w:hAnsi="Segoe UI"/>
                <w:sz w:val="18"/>
              </w:rPr>
              <w:t>Strong technical reputation and sticky platform deployments; faces competition from hyperscaler-native tooling and specialist SaaS vendors.</w:t>
            </w:r>
          </w:p>
        </w:tc>
      </w:tr>
    </w:tbl>
    <w:p/>
    <w:p>
      <w:pPr>
        <w:pStyle w:val="Heading1"/>
      </w:pPr>
      <w:r>
        <w:t>3. Financial performance</w:t>
      </w:r>
    </w:p>
    <w:p>
      <w:r>
        <w:t>The figures below are a synthetic training dataset created to support the Lab 6 scenario. The lab guide specifies the analytical dimensions but does not provide the underlying Relecloud figures; therefore, these values are intentionally illustrative rather than claims about a real company.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rFonts w:ascii="Segoe UI" w:hAnsi="Segoe UI"/>
                <w:b/>
                <w:sz w:val="18"/>
              </w:rPr>
              <w:t>Metric</w:t>
            </w:r>
          </w:p>
        </w:tc>
        <w:tc>
          <w:tcPr>
            <w:tcW w:type="dxa" w:w="2045"/>
            <w:vAlign w:val="center"/>
            <w:shd w:fill="D9EAF7"/>
          </w:tcPr>
          <w:p>
            <w:r>
              <w:rPr>
                <w:rFonts w:ascii="Segoe UI" w:hAnsi="Segoe UI"/>
                <w:b/>
                <w:sz w:val="18"/>
              </w:rPr>
              <w:t>FY2023</w:t>
            </w:r>
          </w:p>
        </w:tc>
        <w:tc>
          <w:tcPr>
            <w:tcW w:type="dxa" w:w="2045"/>
            <w:vAlign w:val="center"/>
            <w:shd w:fill="D9EAF7"/>
          </w:tcPr>
          <w:p>
            <w:r>
              <w:rPr>
                <w:rFonts w:ascii="Segoe UI" w:hAnsi="Segoe UI"/>
                <w:b/>
                <w:sz w:val="18"/>
              </w:rPr>
              <w:t>FY2024</w:t>
            </w:r>
          </w:p>
        </w:tc>
        <w:tc>
          <w:tcPr>
            <w:tcW w:type="dxa" w:w="2045"/>
            <w:vAlign w:val="center"/>
            <w:shd w:fill="D9EAF7"/>
          </w:tcPr>
          <w:p>
            <w:r>
              <w:rPr>
                <w:rFonts w:ascii="Segoe UI" w:hAnsi="Segoe UI"/>
                <w:b/>
                <w:sz w:val="18"/>
              </w:rPr>
              <w:t>FY2025</w:t>
            </w:r>
          </w:p>
        </w:tc>
        <w:tc>
          <w:tcPr>
            <w:tcW w:type="dxa" w:w="2045"/>
            <w:vAlign w:val="center"/>
            <w:shd w:fill="D9EAF7"/>
          </w:tcPr>
          <w:p>
            <w:r>
              <w:rPr>
                <w:rFonts w:ascii="Segoe UI" w:hAnsi="Segoe UI"/>
                <w:b/>
                <w:sz w:val="18"/>
              </w:rPr>
              <w:t>FY2026E</w:t>
            </w:r>
          </w:p>
        </w:tc>
      </w:tr>
      <w:tr>
        <w:tc>
          <w:tcPr>
            <w:tcW w:type="dxa" w:w="2045"/>
            <w:vAlign w:val="center"/>
          </w:tcPr>
          <w:p>
            <w:r>
              <w:rPr>
                <w:rFonts w:ascii="Segoe UI" w:hAnsi="Segoe UI"/>
                <w:sz w:val="18"/>
              </w:rPr>
              <w:t>Revenue ($M)</w:t>
            </w:r>
          </w:p>
        </w:tc>
        <w:tc>
          <w:tcPr>
            <w:tcW w:type="dxa" w:w="2045"/>
            <w:vAlign w:val="center"/>
          </w:tcPr>
          <w:p>
            <w:r>
              <w:rPr>
                <w:rFonts w:ascii="Segoe UI" w:hAnsi="Segoe UI"/>
                <w:sz w:val="18"/>
              </w:rPr>
              <w:t>96.0</w:t>
            </w:r>
          </w:p>
        </w:tc>
        <w:tc>
          <w:tcPr>
            <w:tcW w:type="dxa" w:w="2045"/>
            <w:vAlign w:val="center"/>
          </w:tcPr>
          <w:p>
            <w:r>
              <w:rPr>
                <w:rFonts w:ascii="Segoe UI" w:hAnsi="Segoe UI"/>
                <w:sz w:val="18"/>
              </w:rPr>
              <w:t>118.0</w:t>
            </w:r>
          </w:p>
        </w:tc>
        <w:tc>
          <w:tcPr>
            <w:tcW w:type="dxa" w:w="2045"/>
            <w:vAlign w:val="center"/>
          </w:tcPr>
          <w:p>
            <w:r>
              <w:rPr>
                <w:rFonts w:ascii="Segoe UI" w:hAnsi="Segoe UI"/>
                <w:sz w:val="18"/>
              </w:rPr>
              <w:t>146.0</w:t>
            </w:r>
          </w:p>
        </w:tc>
        <w:tc>
          <w:tcPr>
            <w:tcW w:type="dxa" w:w="2045"/>
            <w:vAlign w:val="center"/>
          </w:tcPr>
          <w:p>
            <w:r>
              <w:rPr>
                <w:rFonts w:ascii="Segoe UI" w:hAnsi="Segoe UI"/>
                <w:sz w:val="18"/>
              </w:rPr>
              <w:t>178.0</w:t>
            </w:r>
          </w:p>
        </w:tc>
      </w:tr>
      <w:tr>
        <w:tc>
          <w:tcPr>
            <w:tcW w:type="dxa" w:w="2045"/>
            <w:vAlign w:val="center"/>
          </w:tcPr>
          <w:p>
            <w:r>
              <w:rPr>
                <w:rFonts w:ascii="Segoe UI" w:hAnsi="Segoe UI"/>
                <w:sz w:val="18"/>
              </w:rPr>
              <w:t>Revenue growth</w:t>
            </w:r>
          </w:p>
        </w:tc>
        <w:tc>
          <w:tcPr>
            <w:tcW w:type="dxa" w:w="2045"/>
            <w:vAlign w:val="center"/>
          </w:tcPr>
          <w:p>
            <w:r>
              <w:rPr>
                <w:rFonts w:ascii="Segoe UI" w:hAnsi="Segoe UI"/>
                <w:sz w:val="18"/>
              </w:rPr>
              <w:t>—</w:t>
            </w:r>
          </w:p>
        </w:tc>
        <w:tc>
          <w:tcPr>
            <w:tcW w:type="dxa" w:w="2045"/>
            <w:vAlign w:val="center"/>
          </w:tcPr>
          <w:p>
            <w:r>
              <w:rPr>
                <w:rFonts w:ascii="Segoe UI" w:hAnsi="Segoe UI"/>
                <w:sz w:val="18"/>
              </w:rPr>
              <w:t>22.9%</w:t>
            </w:r>
          </w:p>
        </w:tc>
        <w:tc>
          <w:tcPr>
            <w:tcW w:type="dxa" w:w="2045"/>
            <w:vAlign w:val="center"/>
          </w:tcPr>
          <w:p>
            <w:r>
              <w:rPr>
                <w:rFonts w:ascii="Segoe UI" w:hAnsi="Segoe UI"/>
                <w:sz w:val="18"/>
              </w:rPr>
              <w:t>23.7%</w:t>
            </w:r>
          </w:p>
        </w:tc>
        <w:tc>
          <w:tcPr>
            <w:tcW w:type="dxa" w:w="2045"/>
            <w:vAlign w:val="center"/>
          </w:tcPr>
          <w:p>
            <w:r>
              <w:rPr>
                <w:rFonts w:ascii="Segoe UI" w:hAnsi="Segoe UI"/>
                <w:sz w:val="18"/>
              </w:rPr>
              <w:t>21.9%</w:t>
            </w:r>
          </w:p>
        </w:tc>
      </w:tr>
      <w:tr>
        <w:tc>
          <w:tcPr>
            <w:tcW w:type="dxa" w:w="2045"/>
            <w:vAlign w:val="center"/>
          </w:tcPr>
          <w:p>
            <w:r>
              <w:rPr>
                <w:rFonts w:ascii="Segoe UI" w:hAnsi="Segoe UI"/>
                <w:sz w:val="18"/>
              </w:rPr>
              <w:t>Gross margin</w:t>
            </w:r>
          </w:p>
        </w:tc>
        <w:tc>
          <w:tcPr>
            <w:tcW w:type="dxa" w:w="2045"/>
            <w:vAlign w:val="center"/>
          </w:tcPr>
          <w:p>
            <w:r>
              <w:rPr>
                <w:rFonts w:ascii="Segoe UI" w:hAnsi="Segoe UI"/>
                <w:sz w:val="18"/>
              </w:rPr>
              <w:t>68%</w:t>
            </w:r>
          </w:p>
        </w:tc>
        <w:tc>
          <w:tcPr>
            <w:tcW w:type="dxa" w:w="2045"/>
            <w:vAlign w:val="center"/>
          </w:tcPr>
          <w:p>
            <w:r>
              <w:rPr>
                <w:rFonts w:ascii="Segoe UI" w:hAnsi="Segoe UI"/>
                <w:sz w:val="18"/>
              </w:rPr>
              <w:t>70%</w:t>
            </w:r>
          </w:p>
        </w:tc>
        <w:tc>
          <w:tcPr>
            <w:tcW w:type="dxa" w:w="2045"/>
            <w:vAlign w:val="center"/>
          </w:tcPr>
          <w:p>
            <w:r>
              <w:rPr>
                <w:rFonts w:ascii="Segoe UI" w:hAnsi="Segoe UI"/>
                <w:sz w:val="18"/>
              </w:rPr>
              <w:t>72%</w:t>
            </w:r>
          </w:p>
        </w:tc>
        <w:tc>
          <w:tcPr>
            <w:tcW w:type="dxa" w:w="2045"/>
            <w:vAlign w:val="center"/>
          </w:tcPr>
          <w:p>
            <w:r>
              <w:rPr>
                <w:rFonts w:ascii="Segoe UI" w:hAnsi="Segoe UI"/>
                <w:sz w:val="18"/>
              </w:rPr>
              <w:t>73%</w:t>
            </w:r>
          </w:p>
        </w:tc>
      </w:tr>
      <w:tr>
        <w:tc>
          <w:tcPr>
            <w:tcW w:type="dxa" w:w="2045"/>
            <w:vAlign w:val="center"/>
          </w:tcPr>
          <w:p>
            <w:r>
              <w:rPr>
                <w:rFonts w:ascii="Segoe UI" w:hAnsi="Segoe UI"/>
                <w:sz w:val="18"/>
              </w:rPr>
              <w:t>EBITDA ($M)</w:t>
            </w:r>
          </w:p>
        </w:tc>
        <w:tc>
          <w:tcPr>
            <w:tcW w:type="dxa" w:w="2045"/>
            <w:vAlign w:val="center"/>
          </w:tcPr>
          <w:p>
            <w:r>
              <w:rPr>
                <w:rFonts w:ascii="Segoe UI" w:hAnsi="Segoe UI"/>
                <w:sz w:val="18"/>
              </w:rPr>
              <w:t>9.6</w:t>
            </w:r>
          </w:p>
        </w:tc>
        <w:tc>
          <w:tcPr>
            <w:tcW w:type="dxa" w:w="2045"/>
            <w:vAlign w:val="center"/>
          </w:tcPr>
          <w:p>
            <w:r>
              <w:rPr>
                <w:rFonts w:ascii="Segoe UI" w:hAnsi="Segoe UI"/>
                <w:sz w:val="18"/>
              </w:rPr>
              <w:t>14.2</w:t>
            </w:r>
          </w:p>
        </w:tc>
        <w:tc>
          <w:tcPr>
            <w:tcW w:type="dxa" w:w="2045"/>
            <w:vAlign w:val="center"/>
          </w:tcPr>
          <w:p>
            <w:r>
              <w:rPr>
                <w:rFonts w:ascii="Segoe UI" w:hAnsi="Segoe UI"/>
                <w:sz w:val="18"/>
              </w:rPr>
              <w:t>20.4</w:t>
            </w:r>
          </w:p>
        </w:tc>
        <w:tc>
          <w:tcPr>
            <w:tcW w:type="dxa" w:w="2045"/>
            <w:vAlign w:val="center"/>
          </w:tcPr>
          <w:p>
            <w:r>
              <w:rPr>
                <w:rFonts w:ascii="Segoe UI" w:hAnsi="Segoe UI"/>
                <w:sz w:val="18"/>
              </w:rPr>
              <w:t>27.6</w:t>
            </w:r>
          </w:p>
        </w:tc>
      </w:tr>
      <w:tr>
        <w:tc>
          <w:tcPr>
            <w:tcW w:type="dxa" w:w="2045"/>
            <w:vAlign w:val="center"/>
          </w:tcPr>
          <w:p>
            <w:r>
              <w:rPr>
                <w:rFonts w:ascii="Segoe UI" w:hAnsi="Segoe UI"/>
                <w:sz w:val="18"/>
              </w:rPr>
              <w:t>EBITDA margin</w:t>
            </w:r>
          </w:p>
        </w:tc>
        <w:tc>
          <w:tcPr>
            <w:tcW w:type="dxa" w:w="2045"/>
            <w:vAlign w:val="center"/>
          </w:tcPr>
          <w:p>
            <w:r>
              <w:rPr>
                <w:rFonts w:ascii="Segoe UI" w:hAnsi="Segoe UI"/>
                <w:sz w:val="18"/>
              </w:rPr>
              <w:t>10.0%</w:t>
            </w:r>
          </w:p>
        </w:tc>
        <w:tc>
          <w:tcPr>
            <w:tcW w:type="dxa" w:w="2045"/>
            <w:vAlign w:val="center"/>
          </w:tcPr>
          <w:p>
            <w:r>
              <w:rPr>
                <w:rFonts w:ascii="Segoe UI" w:hAnsi="Segoe UI"/>
                <w:sz w:val="18"/>
              </w:rPr>
              <w:t>12.0%</w:t>
            </w:r>
          </w:p>
        </w:tc>
        <w:tc>
          <w:tcPr>
            <w:tcW w:type="dxa" w:w="2045"/>
            <w:vAlign w:val="center"/>
          </w:tcPr>
          <w:p>
            <w:r>
              <w:rPr>
                <w:rFonts w:ascii="Segoe UI" w:hAnsi="Segoe UI"/>
                <w:sz w:val="18"/>
              </w:rPr>
              <w:t>14.0%</w:t>
            </w:r>
          </w:p>
        </w:tc>
        <w:tc>
          <w:tcPr>
            <w:tcW w:type="dxa" w:w="2045"/>
            <w:vAlign w:val="center"/>
          </w:tcPr>
          <w:p>
            <w:r>
              <w:rPr>
                <w:rFonts w:ascii="Segoe UI" w:hAnsi="Segoe UI"/>
                <w:sz w:val="18"/>
              </w:rPr>
              <w:t>15.5%</w:t>
            </w:r>
          </w:p>
        </w:tc>
      </w:tr>
      <w:tr>
        <w:tc>
          <w:tcPr>
            <w:tcW w:type="dxa" w:w="2045"/>
            <w:vAlign w:val="center"/>
          </w:tcPr>
          <w:p>
            <w:r>
              <w:rPr>
                <w:rFonts w:ascii="Segoe UI" w:hAnsi="Segoe UI"/>
                <w:sz w:val="18"/>
              </w:rPr>
              <w:t>Net income ($M)</w:t>
            </w:r>
          </w:p>
        </w:tc>
        <w:tc>
          <w:tcPr>
            <w:tcW w:type="dxa" w:w="2045"/>
            <w:vAlign w:val="center"/>
          </w:tcPr>
          <w:p>
            <w:r>
              <w:rPr>
                <w:rFonts w:ascii="Segoe UI" w:hAnsi="Segoe UI"/>
                <w:sz w:val="18"/>
              </w:rPr>
              <w:t>4.2</w:t>
            </w:r>
          </w:p>
        </w:tc>
        <w:tc>
          <w:tcPr>
            <w:tcW w:type="dxa" w:w="2045"/>
            <w:vAlign w:val="center"/>
          </w:tcPr>
          <w:p>
            <w:r>
              <w:rPr>
                <w:rFonts w:ascii="Segoe UI" w:hAnsi="Segoe UI"/>
                <w:sz w:val="18"/>
              </w:rPr>
              <w:t>7.1</w:t>
            </w:r>
          </w:p>
        </w:tc>
        <w:tc>
          <w:tcPr>
            <w:tcW w:type="dxa" w:w="2045"/>
            <w:vAlign w:val="center"/>
          </w:tcPr>
          <w:p>
            <w:r>
              <w:rPr>
                <w:rFonts w:ascii="Segoe UI" w:hAnsi="Segoe UI"/>
                <w:sz w:val="18"/>
              </w:rPr>
              <w:t>10.8</w:t>
            </w:r>
          </w:p>
        </w:tc>
        <w:tc>
          <w:tcPr>
            <w:tcW w:type="dxa" w:w="2045"/>
            <w:vAlign w:val="center"/>
          </w:tcPr>
          <w:p>
            <w:r>
              <w:rPr>
                <w:rFonts w:ascii="Segoe UI" w:hAnsi="Segoe UI"/>
                <w:sz w:val="18"/>
              </w:rPr>
              <w:t>15.0</w:t>
            </w:r>
          </w:p>
        </w:tc>
      </w:tr>
      <w:tr>
        <w:tc>
          <w:tcPr>
            <w:tcW w:type="dxa" w:w="2045"/>
            <w:vAlign w:val="center"/>
          </w:tcPr>
          <w:p>
            <w:r>
              <w:rPr>
                <w:rFonts w:ascii="Segoe UI" w:hAnsi="Segoe UI"/>
                <w:sz w:val="18"/>
              </w:rPr>
              <w:t>Operating margin</w:t>
            </w:r>
          </w:p>
        </w:tc>
        <w:tc>
          <w:tcPr>
            <w:tcW w:type="dxa" w:w="2045"/>
            <w:vAlign w:val="center"/>
          </w:tcPr>
          <w:p>
            <w:r>
              <w:rPr>
                <w:rFonts w:ascii="Segoe UI" w:hAnsi="Segoe UI"/>
                <w:sz w:val="18"/>
              </w:rPr>
              <w:t>7.0%</w:t>
            </w:r>
          </w:p>
        </w:tc>
        <w:tc>
          <w:tcPr>
            <w:tcW w:type="dxa" w:w="2045"/>
            <w:vAlign w:val="center"/>
          </w:tcPr>
          <w:p>
            <w:r>
              <w:rPr>
                <w:rFonts w:ascii="Segoe UI" w:hAnsi="Segoe UI"/>
                <w:sz w:val="18"/>
              </w:rPr>
              <w:t>9.5%</w:t>
            </w:r>
          </w:p>
        </w:tc>
        <w:tc>
          <w:tcPr>
            <w:tcW w:type="dxa" w:w="2045"/>
            <w:vAlign w:val="center"/>
          </w:tcPr>
          <w:p>
            <w:r>
              <w:rPr>
                <w:rFonts w:ascii="Segoe UI" w:hAnsi="Segoe UI"/>
                <w:sz w:val="18"/>
              </w:rPr>
              <w:t>11.5%</w:t>
            </w:r>
          </w:p>
        </w:tc>
        <w:tc>
          <w:tcPr>
            <w:tcW w:type="dxa" w:w="2045"/>
            <w:vAlign w:val="center"/>
          </w:tcPr>
          <w:p>
            <w:r>
              <w:rPr>
                <w:rFonts w:ascii="Segoe UI" w:hAnsi="Segoe UI"/>
                <w:sz w:val="18"/>
              </w:rPr>
              <w:t>13.0%</w:t>
            </w:r>
          </w:p>
        </w:tc>
      </w:tr>
      <w:tr>
        <w:tc>
          <w:tcPr>
            <w:tcW w:type="dxa" w:w="2045"/>
            <w:vAlign w:val="center"/>
          </w:tcPr>
          <w:p>
            <w:r>
              <w:rPr>
                <w:rFonts w:ascii="Segoe UI" w:hAnsi="Segoe UI"/>
                <w:sz w:val="18"/>
              </w:rPr>
              <w:t>Operating cash flow ($M)</w:t>
            </w:r>
          </w:p>
        </w:tc>
        <w:tc>
          <w:tcPr>
            <w:tcW w:type="dxa" w:w="2045"/>
            <w:vAlign w:val="center"/>
          </w:tcPr>
          <w:p>
            <w:r>
              <w:rPr>
                <w:rFonts w:ascii="Segoe UI" w:hAnsi="Segoe UI"/>
                <w:sz w:val="18"/>
              </w:rPr>
              <w:t>8.0</w:t>
            </w:r>
          </w:p>
        </w:tc>
        <w:tc>
          <w:tcPr>
            <w:tcW w:type="dxa" w:w="2045"/>
            <w:vAlign w:val="center"/>
          </w:tcPr>
          <w:p>
            <w:r>
              <w:rPr>
                <w:rFonts w:ascii="Segoe UI" w:hAnsi="Segoe UI"/>
                <w:sz w:val="18"/>
              </w:rPr>
              <w:t>12.0</w:t>
            </w:r>
          </w:p>
        </w:tc>
        <w:tc>
          <w:tcPr>
            <w:tcW w:type="dxa" w:w="2045"/>
            <w:vAlign w:val="center"/>
          </w:tcPr>
          <w:p>
            <w:r>
              <w:rPr>
                <w:rFonts w:ascii="Segoe UI" w:hAnsi="Segoe UI"/>
                <w:sz w:val="18"/>
              </w:rPr>
              <w:t>17.0</w:t>
            </w:r>
          </w:p>
        </w:tc>
        <w:tc>
          <w:tcPr>
            <w:tcW w:type="dxa" w:w="2045"/>
            <w:vAlign w:val="center"/>
          </w:tcPr>
          <w:p>
            <w:r>
              <w:rPr>
                <w:rFonts w:ascii="Segoe UI" w:hAnsi="Segoe UI"/>
                <w:sz w:val="18"/>
              </w:rPr>
              <w:t>23.0</w:t>
            </w:r>
          </w:p>
        </w:tc>
      </w:tr>
    </w:tbl>
    <w:p/>
    <w:p>
      <w:r>
        <w:t>Interpretation: The illustrative profile shows sustained top-line growth, expanding gross margin, and operating leverage. Leadership should validate revenue recognition, renewal rates, deferred revenue, customer acquisition cost, cash conversion, and one-time expenses during diligence.</w:t>
      </w:r>
    </w:p>
    <w:p>
      <w:pPr>
        <w:pStyle w:val="Heading1"/>
      </w:pPr>
      <w:r>
        <w:t>4. Revenue and customer concentration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rFonts w:ascii="Segoe UI" w:hAnsi="Segoe UI"/>
                <w:b/>
                <w:sz w:val="18"/>
              </w:rPr>
              <w:t>Measure</w:t>
            </w:r>
          </w:p>
        </w:tc>
        <w:tc>
          <w:tcPr>
            <w:tcW w:type="dxa" w:w="5112"/>
            <w:vAlign w:val="center"/>
            <w:shd w:fill="D9EAF7"/>
          </w:tcPr>
          <w:p>
            <w:r>
              <w:rPr>
                <w:rFonts w:ascii="Segoe UI" w:hAnsi="Segoe UI"/>
                <w:b/>
                <w:sz w:val="18"/>
              </w:rPr>
              <w:t>Illustrative position</w:t>
            </w:r>
          </w:p>
        </w:tc>
      </w:tr>
      <w:tr>
        <w:tc>
          <w:tcPr>
            <w:tcW w:type="dxa" w:w="5112"/>
            <w:vAlign w:val="center"/>
          </w:tcPr>
          <w:p>
            <w:r>
              <w:rPr>
                <w:rFonts w:ascii="Segoe UI" w:hAnsi="Segoe UI"/>
                <w:sz w:val="18"/>
              </w:rPr>
              <w:t>Recurring revenue mix</w:t>
            </w:r>
          </w:p>
        </w:tc>
        <w:tc>
          <w:tcPr>
            <w:tcW w:type="dxa" w:w="5112"/>
            <w:vAlign w:val="center"/>
          </w:tcPr>
          <w:p>
            <w:r>
              <w:rPr>
                <w:rFonts w:ascii="Segoe UI" w:hAnsi="Segoe UI"/>
                <w:sz w:val="18"/>
              </w:rPr>
              <w:t>Approximately 82% of FY2025 revenue is recurring subscription/platform revenue.</w:t>
            </w:r>
          </w:p>
        </w:tc>
      </w:tr>
      <w:tr>
        <w:tc>
          <w:tcPr>
            <w:tcW w:type="dxa" w:w="5112"/>
            <w:vAlign w:val="center"/>
          </w:tcPr>
          <w:p>
            <w:r>
              <w:rPr>
                <w:rFonts w:ascii="Segoe UI" w:hAnsi="Segoe UI"/>
                <w:sz w:val="18"/>
              </w:rPr>
              <w:t>Top 10 customers</w:t>
            </w:r>
          </w:p>
        </w:tc>
        <w:tc>
          <w:tcPr>
            <w:tcW w:type="dxa" w:w="5112"/>
            <w:vAlign w:val="center"/>
          </w:tcPr>
          <w:p>
            <w:r>
              <w:rPr>
                <w:rFonts w:ascii="Segoe UI" w:hAnsi="Segoe UI"/>
                <w:sz w:val="18"/>
              </w:rPr>
              <w:t>Approximately 46% of FY2025 revenue.</w:t>
            </w:r>
          </w:p>
        </w:tc>
      </w:tr>
      <w:tr>
        <w:tc>
          <w:tcPr>
            <w:tcW w:type="dxa" w:w="5112"/>
            <w:vAlign w:val="center"/>
          </w:tcPr>
          <w:p>
            <w:r>
              <w:rPr>
                <w:rFonts w:ascii="Segoe UI" w:hAnsi="Segoe UI"/>
                <w:sz w:val="18"/>
              </w:rPr>
              <w:t>Largest customer</w:t>
            </w:r>
          </w:p>
        </w:tc>
        <w:tc>
          <w:tcPr>
            <w:tcW w:type="dxa" w:w="5112"/>
            <w:vAlign w:val="center"/>
          </w:tcPr>
          <w:p>
            <w:r>
              <w:rPr>
                <w:rFonts w:ascii="Segoe UI" w:hAnsi="Segoe UI"/>
                <w:sz w:val="18"/>
              </w:rPr>
              <w:t>Approximately 11% of FY2025 revenue.</w:t>
            </w:r>
          </w:p>
        </w:tc>
      </w:tr>
      <w:tr>
        <w:tc>
          <w:tcPr>
            <w:tcW w:type="dxa" w:w="5112"/>
            <w:vAlign w:val="center"/>
          </w:tcPr>
          <w:p>
            <w:r>
              <w:rPr>
                <w:rFonts w:ascii="Segoe UI" w:hAnsi="Segoe UI"/>
                <w:sz w:val="18"/>
              </w:rPr>
              <w:t>Customer retention</w:t>
            </w:r>
          </w:p>
        </w:tc>
        <w:tc>
          <w:tcPr>
            <w:tcW w:type="dxa" w:w="5112"/>
            <w:vAlign w:val="center"/>
          </w:tcPr>
          <w:p>
            <w:r>
              <w:rPr>
                <w:rFonts w:ascii="Segoe UI" w:hAnsi="Segoe UI"/>
                <w:sz w:val="18"/>
              </w:rPr>
              <w:t>Gross revenue retention approximately 91%; net revenue retention approximately 108%.</w:t>
            </w:r>
          </w:p>
        </w:tc>
      </w:tr>
      <w:tr>
        <w:tc>
          <w:tcPr>
            <w:tcW w:type="dxa" w:w="5112"/>
            <w:vAlign w:val="center"/>
          </w:tcPr>
          <w:p>
            <w:r>
              <w:rPr>
                <w:rFonts w:ascii="Segoe UI" w:hAnsi="Segoe UI"/>
                <w:sz w:val="18"/>
              </w:rPr>
              <w:t>Churn drivers</w:t>
            </w:r>
          </w:p>
        </w:tc>
        <w:tc>
          <w:tcPr>
            <w:tcW w:type="dxa" w:w="5112"/>
            <w:vAlign w:val="center"/>
          </w:tcPr>
          <w:p>
            <w:r>
              <w:rPr>
                <w:rFonts w:ascii="Segoe UI" w:hAnsi="Segoe UI"/>
                <w:sz w:val="18"/>
              </w:rPr>
              <w:t>Budget reductions, platform consolidation, and competitive displacement are the main assumed drivers.</w:t>
            </w:r>
          </w:p>
        </w:tc>
      </w:tr>
      <w:tr>
        <w:tc>
          <w:tcPr>
            <w:tcW w:type="dxa" w:w="5112"/>
            <w:vAlign w:val="center"/>
          </w:tcPr>
          <w:p>
            <w:r>
              <w:rPr>
                <w:rFonts w:ascii="Segoe UI" w:hAnsi="Segoe UI"/>
                <w:sz w:val="18"/>
              </w:rPr>
              <w:t>Sector concentration</w:t>
            </w:r>
          </w:p>
        </w:tc>
        <w:tc>
          <w:tcPr>
            <w:tcW w:type="dxa" w:w="5112"/>
            <w:vAlign w:val="center"/>
          </w:tcPr>
          <w:p>
            <w:r>
              <w:rPr>
                <w:rFonts w:ascii="Segoe UI" w:hAnsi="Segoe UI"/>
                <w:sz w:val="18"/>
              </w:rPr>
              <w:t>Technology, financial services, and healthcare are the largest customer sectors.</w:t>
            </w:r>
          </w:p>
        </w:tc>
      </w:tr>
    </w:tbl>
    <w:p/>
    <w:p>
      <w:r>
        <w:t>Risk implication: Customer concentration creates a material diligence item. The acquisition case should stress-test the effect of losing the largest accounts and evaluate contract renewal dates, termination rights, service-level commitments, and expansion pipeline.</w:t>
      </w:r>
    </w:p>
    <w:p>
      <w:pPr>
        <w:pStyle w:val="Heading1"/>
      </w:pPr>
      <w:r>
        <w:t>5. Cost structure and efficiency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rFonts w:ascii="Segoe UI" w:hAnsi="Segoe UI"/>
                <w:b/>
                <w:sz w:val="18"/>
              </w:rPr>
              <w:t>Cost area</w:t>
            </w:r>
          </w:p>
        </w:tc>
        <w:tc>
          <w:tcPr>
            <w:tcW w:type="dxa" w:w="3408"/>
            <w:vAlign w:val="center"/>
            <w:shd w:fill="D9EAF7"/>
          </w:tcPr>
          <w:p>
            <w:r>
              <w:rPr>
                <w:rFonts w:ascii="Segoe UI" w:hAnsi="Segoe UI"/>
                <w:b/>
                <w:sz w:val="18"/>
              </w:rPr>
              <w:t>FY2025 illustrative profile</w:t>
            </w:r>
          </w:p>
        </w:tc>
        <w:tc>
          <w:tcPr>
            <w:tcW w:type="dxa" w:w="3408"/>
            <w:vAlign w:val="center"/>
            <w:shd w:fill="D9EAF7"/>
          </w:tcPr>
          <w:p>
            <w:r>
              <w:rPr>
                <w:rFonts w:ascii="Segoe UI" w:hAnsi="Segoe UI"/>
                <w:b/>
                <w:sz w:val="18"/>
              </w:rPr>
              <w:t>Assessment</w:t>
            </w:r>
          </w:p>
        </w:tc>
      </w:tr>
      <w:tr>
        <w:tc>
          <w:tcPr>
            <w:tcW w:type="dxa" w:w="3408"/>
            <w:vAlign w:val="center"/>
          </w:tcPr>
          <w:p>
            <w:r>
              <w:rPr>
                <w:rFonts w:ascii="Segoe UI" w:hAnsi="Segoe UI"/>
                <w:sz w:val="18"/>
              </w:rPr>
              <w:t>COGS</w:t>
            </w:r>
          </w:p>
        </w:tc>
        <w:tc>
          <w:tcPr>
            <w:tcW w:type="dxa" w:w="3408"/>
            <w:vAlign w:val="center"/>
          </w:tcPr>
          <w:p>
            <w:r>
              <w:rPr>
                <w:rFonts w:ascii="Segoe UI" w:hAnsi="Segoe UI"/>
                <w:sz w:val="18"/>
              </w:rPr>
              <w:t>28% of revenue</w:t>
            </w:r>
          </w:p>
        </w:tc>
        <w:tc>
          <w:tcPr>
            <w:tcW w:type="dxa" w:w="3408"/>
            <w:vAlign w:val="center"/>
          </w:tcPr>
          <w:p>
            <w:r>
              <w:rPr>
                <w:rFonts w:ascii="Segoe UI" w:hAnsi="Segoe UI"/>
                <w:sz w:val="18"/>
              </w:rPr>
              <w:t>Healthy software gross-margin profile; managed services component creates delivery-cost sensitivity.</w:t>
            </w:r>
          </w:p>
        </w:tc>
      </w:tr>
      <w:tr>
        <w:tc>
          <w:tcPr>
            <w:tcW w:type="dxa" w:w="3408"/>
            <w:vAlign w:val="center"/>
          </w:tcPr>
          <w:p>
            <w:r>
              <w:rPr>
                <w:rFonts w:ascii="Segoe UI" w:hAnsi="Segoe UI"/>
                <w:sz w:val="18"/>
              </w:rPr>
              <w:t>R&amp;D</w:t>
            </w:r>
          </w:p>
        </w:tc>
        <w:tc>
          <w:tcPr>
            <w:tcW w:type="dxa" w:w="3408"/>
            <w:vAlign w:val="center"/>
          </w:tcPr>
          <w:p>
            <w:r>
              <w:rPr>
                <w:rFonts w:ascii="Segoe UI" w:hAnsi="Segoe UI"/>
                <w:sz w:val="18"/>
              </w:rPr>
              <w:t>24% of revenue</w:t>
            </w:r>
          </w:p>
        </w:tc>
        <w:tc>
          <w:tcPr>
            <w:tcW w:type="dxa" w:w="3408"/>
            <w:vAlign w:val="center"/>
          </w:tcPr>
          <w:p>
            <w:r>
              <w:rPr>
                <w:rFonts w:ascii="Segoe UI" w:hAnsi="Segoe UI"/>
                <w:sz w:val="18"/>
              </w:rPr>
              <w:t>High investment supports product roadmap and technical differentiation.</w:t>
            </w:r>
          </w:p>
        </w:tc>
      </w:tr>
      <w:tr>
        <w:tc>
          <w:tcPr>
            <w:tcW w:type="dxa" w:w="3408"/>
            <w:vAlign w:val="center"/>
          </w:tcPr>
          <w:p>
            <w:r>
              <w:rPr>
                <w:rFonts w:ascii="Segoe UI" w:hAnsi="Segoe UI"/>
                <w:sz w:val="18"/>
              </w:rPr>
              <w:t>Sales &amp; marketing</w:t>
            </w:r>
          </w:p>
        </w:tc>
        <w:tc>
          <w:tcPr>
            <w:tcW w:type="dxa" w:w="3408"/>
            <w:vAlign w:val="center"/>
          </w:tcPr>
          <w:p>
            <w:r>
              <w:rPr>
                <w:rFonts w:ascii="Segoe UI" w:hAnsi="Segoe UI"/>
                <w:sz w:val="18"/>
              </w:rPr>
              <w:t>22% of revenue</w:t>
            </w:r>
          </w:p>
        </w:tc>
        <w:tc>
          <w:tcPr>
            <w:tcW w:type="dxa" w:w="3408"/>
            <w:vAlign w:val="center"/>
          </w:tcPr>
          <w:p>
            <w:r>
              <w:rPr>
                <w:rFonts w:ascii="Segoe UI" w:hAnsi="Segoe UI"/>
                <w:sz w:val="18"/>
              </w:rPr>
              <w:t>Growth-oriented spend; review sales efficiency and payback.</w:t>
            </w:r>
          </w:p>
        </w:tc>
      </w:tr>
      <w:tr>
        <w:tc>
          <w:tcPr>
            <w:tcW w:type="dxa" w:w="3408"/>
            <w:vAlign w:val="center"/>
          </w:tcPr>
          <w:p>
            <w:r>
              <w:rPr>
                <w:rFonts w:ascii="Segoe UI" w:hAnsi="Segoe UI"/>
                <w:sz w:val="18"/>
              </w:rPr>
              <w:t>G&amp;A</w:t>
            </w:r>
          </w:p>
        </w:tc>
        <w:tc>
          <w:tcPr>
            <w:tcW w:type="dxa" w:w="3408"/>
            <w:vAlign w:val="center"/>
          </w:tcPr>
          <w:p>
            <w:r>
              <w:rPr>
                <w:rFonts w:ascii="Segoe UI" w:hAnsi="Segoe UI"/>
                <w:sz w:val="18"/>
              </w:rPr>
              <w:t>12% of revenue</w:t>
            </w:r>
          </w:p>
        </w:tc>
        <w:tc>
          <w:tcPr>
            <w:tcW w:type="dxa" w:w="3408"/>
            <w:vAlign w:val="center"/>
          </w:tcPr>
          <w:p>
            <w:r>
              <w:rPr>
                <w:rFonts w:ascii="Segoe UI" w:hAnsi="Segoe UI"/>
                <w:sz w:val="18"/>
              </w:rPr>
              <w:t>Opportunity for post-merger shared-service synergies.</w:t>
            </w:r>
          </w:p>
        </w:tc>
      </w:tr>
      <w:tr>
        <w:tc>
          <w:tcPr>
            <w:tcW w:type="dxa" w:w="3408"/>
            <w:vAlign w:val="center"/>
          </w:tcPr>
          <w:p>
            <w:r>
              <w:rPr>
                <w:rFonts w:ascii="Segoe UI" w:hAnsi="Segoe UI"/>
                <w:sz w:val="18"/>
              </w:rPr>
              <w:t>Adjusted EBITDA</w:t>
            </w:r>
          </w:p>
        </w:tc>
        <w:tc>
          <w:tcPr>
            <w:tcW w:type="dxa" w:w="3408"/>
            <w:vAlign w:val="center"/>
          </w:tcPr>
          <w:p>
            <w:r>
              <w:rPr>
                <w:rFonts w:ascii="Segoe UI" w:hAnsi="Segoe UI"/>
                <w:sz w:val="18"/>
              </w:rPr>
              <w:t>14% of revenue</w:t>
            </w:r>
          </w:p>
        </w:tc>
        <w:tc>
          <w:tcPr>
            <w:tcW w:type="dxa" w:w="3408"/>
            <w:vAlign w:val="center"/>
          </w:tcPr>
          <w:p>
            <w:r>
              <w:rPr>
                <w:rFonts w:ascii="Segoe UI" w:hAnsi="Segoe UI"/>
                <w:sz w:val="18"/>
              </w:rPr>
              <w:t>Positive operating leverage with further synergy potential.</w:t>
            </w:r>
          </w:p>
        </w:tc>
      </w:tr>
    </w:tbl>
    <w:p/>
    <w:p>
      <w:pPr>
        <w:pStyle w:val="Heading1"/>
      </w:pPr>
      <w:r>
        <w:t>6. Operations and capabilities</w:t>
      </w:r>
    </w:p>
    <w:p>
      <w:pPr>
        <w:pStyle w:val="Heading2"/>
      </w:pPr>
      <w:r>
        <w:t>6.1 Technology and platform</w:t>
      </w:r>
    </w:p>
    <w:p>
      <w:r>
        <w:t>Relecloud operates a cloud-native platform with containerized workloads, automated CI/CD pipelines, infrastructure-as-code, centralized observability, and security controls integrated into deployment workflows.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rFonts w:ascii="Segoe UI" w:hAnsi="Segoe UI"/>
                <w:b/>
                <w:sz w:val="18"/>
              </w:rPr>
              <w:t>Capability</w:t>
            </w:r>
          </w:p>
        </w:tc>
        <w:tc>
          <w:tcPr>
            <w:tcW w:type="dxa" w:w="3408"/>
            <w:vAlign w:val="center"/>
            <w:shd w:fill="D9EAF7"/>
          </w:tcPr>
          <w:p>
            <w:r>
              <w:rPr>
                <w:rFonts w:ascii="Segoe UI" w:hAnsi="Segoe UI"/>
                <w:b/>
                <w:sz w:val="18"/>
              </w:rPr>
              <w:t>Maturity</w:t>
            </w:r>
          </w:p>
        </w:tc>
        <w:tc>
          <w:tcPr>
            <w:tcW w:type="dxa" w:w="3408"/>
            <w:vAlign w:val="center"/>
            <w:shd w:fill="D9EAF7"/>
          </w:tcPr>
          <w:p>
            <w:r>
              <w:rPr>
                <w:rFonts w:ascii="Segoe UI" w:hAnsi="Segoe UI"/>
                <w:b/>
                <w:sz w:val="18"/>
              </w:rPr>
              <w:t>Acquisition relevance</w:t>
            </w:r>
          </w:p>
        </w:tc>
      </w:tr>
      <w:tr>
        <w:tc>
          <w:tcPr>
            <w:tcW w:type="dxa" w:w="3408"/>
            <w:vAlign w:val="center"/>
          </w:tcPr>
          <w:p>
            <w:r>
              <w:rPr>
                <w:rFonts w:ascii="Segoe UI" w:hAnsi="Segoe UI"/>
                <w:sz w:val="18"/>
              </w:rPr>
              <w:t>Cloud infrastructure</w:t>
            </w:r>
          </w:p>
        </w:tc>
        <w:tc>
          <w:tcPr>
            <w:tcW w:type="dxa" w:w="3408"/>
            <w:vAlign w:val="center"/>
          </w:tcPr>
          <w:p>
            <w:r>
              <w:rPr>
                <w:rFonts w:ascii="Segoe UI" w:hAnsi="Segoe UI"/>
                <w:sz w:val="18"/>
              </w:rPr>
              <w:t>High</w:t>
            </w:r>
          </w:p>
        </w:tc>
        <w:tc>
          <w:tcPr>
            <w:tcW w:type="dxa" w:w="3408"/>
            <w:vAlign w:val="center"/>
          </w:tcPr>
          <w:p>
            <w:r>
              <w:rPr>
                <w:rFonts w:ascii="Segoe UI" w:hAnsi="Segoe UI"/>
                <w:sz w:val="18"/>
              </w:rPr>
              <w:t>Can accelerate Zava's cloud modernization.</w:t>
            </w:r>
          </w:p>
        </w:tc>
      </w:tr>
      <w:tr>
        <w:tc>
          <w:tcPr>
            <w:tcW w:type="dxa" w:w="3408"/>
            <w:vAlign w:val="center"/>
          </w:tcPr>
          <w:p>
            <w:r>
              <w:rPr>
                <w:rFonts w:ascii="Segoe UI" w:hAnsi="Segoe UI"/>
                <w:sz w:val="18"/>
              </w:rPr>
              <w:t>DevSecOps</w:t>
            </w:r>
          </w:p>
        </w:tc>
        <w:tc>
          <w:tcPr>
            <w:tcW w:type="dxa" w:w="3408"/>
            <w:vAlign w:val="center"/>
          </w:tcPr>
          <w:p>
            <w:r>
              <w:rPr>
                <w:rFonts w:ascii="Segoe UI" w:hAnsi="Segoe UI"/>
                <w:sz w:val="18"/>
              </w:rPr>
              <w:t>High</w:t>
            </w:r>
          </w:p>
        </w:tc>
        <w:tc>
          <w:tcPr>
            <w:tcW w:type="dxa" w:w="3408"/>
            <w:vAlign w:val="center"/>
          </w:tcPr>
          <w:p>
            <w:r>
              <w:rPr>
                <w:rFonts w:ascii="Segoe UI" w:hAnsi="Segoe UI"/>
                <w:sz w:val="18"/>
              </w:rPr>
              <w:t>Reusable engineering practices and security automation.</w:t>
            </w:r>
          </w:p>
        </w:tc>
      </w:tr>
      <w:tr>
        <w:tc>
          <w:tcPr>
            <w:tcW w:type="dxa" w:w="3408"/>
            <w:vAlign w:val="center"/>
          </w:tcPr>
          <w:p>
            <w:r>
              <w:rPr>
                <w:rFonts w:ascii="Segoe UI" w:hAnsi="Segoe UI"/>
                <w:sz w:val="18"/>
              </w:rPr>
              <w:t>Observability</w:t>
            </w:r>
          </w:p>
        </w:tc>
        <w:tc>
          <w:tcPr>
            <w:tcW w:type="dxa" w:w="3408"/>
            <w:vAlign w:val="center"/>
          </w:tcPr>
          <w:p>
            <w:r>
              <w:rPr>
                <w:rFonts w:ascii="Segoe UI" w:hAnsi="Segoe UI"/>
                <w:sz w:val="18"/>
              </w:rPr>
              <w:t>High</w:t>
            </w:r>
          </w:p>
        </w:tc>
        <w:tc>
          <w:tcPr>
            <w:tcW w:type="dxa" w:w="3408"/>
            <w:vAlign w:val="center"/>
          </w:tcPr>
          <w:p>
            <w:r>
              <w:rPr>
                <w:rFonts w:ascii="Segoe UI" w:hAnsi="Segoe UI"/>
                <w:sz w:val="18"/>
              </w:rPr>
              <w:t>Supports enterprise reliability and operational analytics.</w:t>
            </w:r>
          </w:p>
        </w:tc>
      </w:tr>
      <w:tr>
        <w:tc>
          <w:tcPr>
            <w:tcW w:type="dxa" w:w="3408"/>
            <w:vAlign w:val="center"/>
          </w:tcPr>
          <w:p>
            <w:r>
              <w:rPr>
                <w:rFonts w:ascii="Segoe UI" w:hAnsi="Segoe UI"/>
                <w:sz w:val="18"/>
              </w:rPr>
              <w:t>Data/analytics</w:t>
            </w:r>
          </w:p>
        </w:tc>
        <w:tc>
          <w:tcPr>
            <w:tcW w:type="dxa" w:w="3408"/>
            <w:vAlign w:val="center"/>
          </w:tcPr>
          <w:p>
            <w:r>
              <w:rPr>
                <w:rFonts w:ascii="Segoe UI" w:hAnsi="Segoe UI"/>
                <w:sz w:val="18"/>
              </w:rPr>
              <w:t>Medium-High</w:t>
            </w:r>
          </w:p>
        </w:tc>
        <w:tc>
          <w:tcPr>
            <w:tcW w:type="dxa" w:w="3408"/>
            <w:vAlign w:val="center"/>
          </w:tcPr>
          <w:p>
            <w:r>
              <w:rPr>
                <w:rFonts w:ascii="Segoe UI" w:hAnsi="Segoe UI"/>
                <w:sz w:val="18"/>
              </w:rPr>
              <w:t>Potential to combine with retail operational data.</w:t>
            </w:r>
          </w:p>
        </w:tc>
      </w:tr>
      <w:tr>
        <w:tc>
          <w:tcPr>
            <w:tcW w:type="dxa" w:w="3408"/>
            <w:vAlign w:val="center"/>
          </w:tcPr>
          <w:p>
            <w:r>
              <w:rPr>
                <w:rFonts w:ascii="Segoe UI" w:hAnsi="Segoe UI"/>
                <w:sz w:val="18"/>
              </w:rPr>
              <w:t>Identity/access controls</w:t>
            </w:r>
          </w:p>
        </w:tc>
        <w:tc>
          <w:tcPr>
            <w:tcW w:type="dxa" w:w="3408"/>
            <w:vAlign w:val="center"/>
          </w:tcPr>
          <w:p>
            <w:r>
              <w:rPr>
                <w:rFonts w:ascii="Segoe UI" w:hAnsi="Segoe UI"/>
                <w:sz w:val="18"/>
              </w:rPr>
              <w:t>Medium-High</w:t>
            </w:r>
          </w:p>
        </w:tc>
        <w:tc>
          <w:tcPr>
            <w:tcW w:type="dxa" w:w="3408"/>
            <w:vAlign w:val="center"/>
          </w:tcPr>
          <w:p>
            <w:r>
              <w:rPr>
                <w:rFonts w:ascii="Segoe UI" w:hAnsi="Segoe UI"/>
                <w:sz w:val="18"/>
              </w:rPr>
              <w:t>Requires alignment with Zava enterprise identity standards.</w:t>
            </w:r>
          </w:p>
        </w:tc>
      </w:tr>
      <w:tr>
        <w:tc>
          <w:tcPr>
            <w:tcW w:type="dxa" w:w="3408"/>
            <w:vAlign w:val="center"/>
          </w:tcPr>
          <w:p>
            <w:r>
              <w:rPr>
                <w:rFonts w:ascii="Segoe UI" w:hAnsi="Segoe UI"/>
                <w:sz w:val="18"/>
              </w:rPr>
              <w:t>Enterprise governance</w:t>
            </w:r>
          </w:p>
        </w:tc>
        <w:tc>
          <w:tcPr>
            <w:tcW w:type="dxa" w:w="3408"/>
            <w:vAlign w:val="center"/>
          </w:tcPr>
          <w:p>
            <w:r>
              <w:rPr>
                <w:rFonts w:ascii="Segoe UI" w:hAnsi="Segoe UI"/>
                <w:sz w:val="18"/>
              </w:rPr>
              <w:t>Medium</w:t>
            </w:r>
          </w:p>
        </w:tc>
        <w:tc>
          <w:tcPr>
            <w:tcW w:type="dxa" w:w="3408"/>
            <w:vAlign w:val="center"/>
          </w:tcPr>
          <w:p>
            <w:r>
              <w:rPr>
                <w:rFonts w:ascii="Segoe UI" w:hAnsi="Segoe UI"/>
                <w:sz w:val="18"/>
              </w:rPr>
              <w:t>Integration should standardize controls and reporting.</w:t>
            </w:r>
          </w:p>
        </w:tc>
      </w:tr>
    </w:tbl>
    <w:p/>
    <w:p>
      <w:pPr>
        <w:pStyle w:val="Heading1"/>
      </w:pPr>
      <w:r>
        <w:t>6.2 Competitive positioning and SWOT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rFonts w:ascii="Segoe UI" w:hAnsi="Segoe UI"/>
                <w:b/>
                <w:sz w:val="18"/>
              </w:rPr>
              <w:t>Strengths</w:t>
            </w:r>
          </w:p>
        </w:tc>
        <w:tc>
          <w:tcPr>
            <w:tcW w:type="dxa" w:w="5112"/>
            <w:vAlign w:val="center"/>
            <w:shd w:fill="D9EAF7"/>
          </w:tcPr>
          <w:p>
            <w:r>
              <w:rPr>
                <w:rFonts w:ascii="Segoe UI" w:hAnsi="Segoe UI"/>
                <w:b/>
                <w:sz w:val="18"/>
              </w:rPr>
              <w:t>Weaknesses</w:t>
            </w:r>
          </w:p>
        </w:tc>
      </w:tr>
      <w:tr>
        <w:tc>
          <w:tcPr>
            <w:tcW w:type="dxa" w:w="5112"/>
            <w:vAlign w:val="center"/>
          </w:tcPr>
          <w:p>
            <w:r>
              <w:rPr>
                <w:rFonts w:ascii="Segoe UI" w:hAnsi="Segoe UI"/>
                <w:sz w:val="18"/>
              </w:rPr>
              <w:t>Strong technical talent and platform expertise</w:t>
            </w:r>
          </w:p>
        </w:tc>
        <w:tc>
          <w:tcPr>
            <w:tcW w:type="dxa" w:w="5112"/>
            <w:vAlign w:val="center"/>
          </w:tcPr>
          <w:p>
            <w:r>
              <w:rPr>
                <w:rFonts w:ascii="Segoe UI" w:hAnsi="Segoe UI"/>
                <w:sz w:val="18"/>
              </w:rPr>
              <w:t>Customer concentration</w:t>
            </w:r>
          </w:p>
        </w:tc>
      </w:tr>
      <w:tr>
        <w:tc>
          <w:tcPr>
            <w:tcW w:type="dxa" w:w="5112"/>
            <w:vAlign w:val="center"/>
          </w:tcPr>
          <w:p>
            <w:r>
              <w:rPr>
                <w:rFonts w:ascii="Segoe UI" w:hAnsi="Segoe UI"/>
                <w:sz w:val="18"/>
              </w:rPr>
              <w:t>Recurring subscription revenue</w:t>
            </w:r>
          </w:p>
        </w:tc>
        <w:tc>
          <w:tcPr>
            <w:tcW w:type="dxa" w:w="5112"/>
            <w:vAlign w:val="center"/>
          </w:tcPr>
          <w:p>
            <w:r>
              <w:rPr>
                <w:rFonts w:ascii="Segoe UI" w:hAnsi="Segoe UI"/>
                <w:sz w:val="18"/>
              </w:rPr>
              <w:t>Smaller scale than hyperscaler-native competitors</w:t>
            </w:r>
          </w:p>
        </w:tc>
      </w:tr>
      <w:tr>
        <w:tc>
          <w:tcPr>
            <w:tcW w:type="dxa" w:w="5112"/>
            <w:vAlign w:val="center"/>
          </w:tcPr>
          <w:p>
            <w:r>
              <w:rPr>
                <w:rFonts w:ascii="Segoe UI" w:hAnsi="Segoe UI"/>
                <w:sz w:val="18"/>
              </w:rPr>
              <w:t>DevSecOps automation capabilities</w:t>
            </w:r>
          </w:p>
        </w:tc>
        <w:tc>
          <w:tcPr>
            <w:tcW w:type="dxa" w:w="5112"/>
            <w:vAlign w:val="center"/>
          </w:tcPr>
          <w:p>
            <w:r>
              <w:rPr>
                <w:rFonts w:ascii="Segoe UI" w:hAnsi="Segoe UI"/>
                <w:sz w:val="18"/>
              </w:rPr>
              <w:t>Integration dependency on key technical leaders</w:t>
            </w:r>
          </w:p>
        </w:tc>
      </w:tr>
      <w:tr>
        <w:tc>
          <w:tcPr>
            <w:tcW w:type="dxa" w:w="5112"/>
            <w:vAlign w:val="center"/>
          </w:tcPr>
          <w:p>
            <w:r>
              <w:rPr>
                <w:rFonts w:ascii="Segoe UI" w:hAnsi="Segoe UI"/>
                <w:sz w:val="18"/>
              </w:rPr>
              <w:t>Enterprise-grade observability</w:t>
            </w:r>
          </w:p>
        </w:tc>
        <w:tc>
          <w:tcPr>
            <w:tcW w:type="dxa" w:w="5112"/>
            <w:vAlign w:val="center"/>
          </w:tcPr>
          <w:p>
            <w:r>
              <w:rPr>
                <w:rFonts w:ascii="Segoe UI" w:hAnsi="Segoe UI"/>
                <w:sz w:val="18"/>
              </w:rPr>
              <w:t>Some managed-service delivery complexity</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rFonts w:ascii="Segoe UI" w:hAnsi="Segoe UI"/>
                <w:b/>
                <w:sz w:val="18"/>
              </w:rPr>
              <w:t>Opportunities</w:t>
            </w:r>
          </w:p>
        </w:tc>
        <w:tc>
          <w:tcPr>
            <w:tcW w:type="dxa" w:w="5112"/>
            <w:vAlign w:val="center"/>
            <w:shd w:fill="D9EAF7"/>
          </w:tcPr>
          <w:p>
            <w:r>
              <w:rPr>
                <w:rFonts w:ascii="Segoe UI" w:hAnsi="Segoe UI"/>
                <w:b/>
                <w:sz w:val="18"/>
              </w:rPr>
              <w:t>Threats</w:t>
            </w:r>
          </w:p>
        </w:tc>
      </w:tr>
      <w:tr>
        <w:tc>
          <w:tcPr>
            <w:tcW w:type="dxa" w:w="5112"/>
            <w:vAlign w:val="center"/>
          </w:tcPr>
          <w:p>
            <w:r>
              <w:rPr>
                <w:rFonts w:ascii="Segoe UI" w:hAnsi="Segoe UI"/>
                <w:sz w:val="18"/>
              </w:rPr>
              <w:t>Expand into retail and other regulated industries</w:t>
            </w:r>
          </w:p>
        </w:tc>
        <w:tc>
          <w:tcPr>
            <w:tcW w:type="dxa" w:w="5112"/>
            <w:vAlign w:val="center"/>
          </w:tcPr>
          <w:p>
            <w:r>
              <w:rPr>
                <w:rFonts w:ascii="Segoe UI" w:hAnsi="Segoe UI"/>
                <w:sz w:val="18"/>
              </w:rPr>
              <w:t>Hyperscaler bundling</w:t>
            </w:r>
          </w:p>
        </w:tc>
      </w:tr>
      <w:tr>
        <w:tc>
          <w:tcPr>
            <w:tcW w:type="dxa" w:w="5112"/>
            <w:vAlign w:val="center"/>
          </w:tcPr>
          <w:p>
            <w:r>
              <w:rPr>
                <w:rFonts w:ascii="Segoe UI" w:hAnsi="Segoe UI"/>
                <w:sz w:val="18"/>
              </w:rPr>
              <w:t>Cross-sell through Zava enterprise relationships</w:t>
            </w:r>
          </w:p>
        </w:tc>
        <w:tc>
          <w:tcPr>
            <w:tcW w:type="dxa" w:w="5112"/>
            <w:vAlign w:val="center"/>
          </w:tcPr>
          <w:p>
            <w:r>
              <w:rPr>
                <w:rFonts w:ascii="Segoe UI" w:hAnsi="Segoe UI"/>
                <w:sz w:val="18"/>
              </w:rPr>
              <w:t>Pricing pressure</w:t>
            </w:r>
          </w:p>
        </w:tc>
      </w:tr>
      <w:tr>
        <w:tc>
          <w:tcPr>
            <w:tcW w:type="dxa" w:w="5112"/>
            <w:vAlign w:val="center"/>
          </w:tcPr>
          <w:p>
            <w:r>
              <w:rPr>
                <w:rFonts w:ascii="Segoe UI" w:hAnsi="Segoe UI"/>
                <w:sz w:val="18"/>
              </w:rPr>
              <w:t>Combine analytics with retail operational data</w:t>
            </w:r>
          </w:p>
        </w:tc>
        <w:tc>
          <w:tcPr>
            <w:tcW w:type="dxa" w:w="5112"/>
            <w:vAlign w:val="center"/>
          </w:tcPr>
          <w:p>
            <w:r>
              <w:rPr>
                <w:rFonts w:ascii="Segoe UI" w:hAnsi="Segoe UI"/>
                <w:sz w:val="18"/>
              </w:rPr>
              <w:t>Talent attrition</w:t>
            </w:r>
          </w:p>
        </w:tc>
      </w:tr>
      <w:tr>
        <w:tc>
          <w:tcPr>
            <w:tcW w:type="dxa" w:w="5112"/>
            <w:vAlign w:val="center"/>
          </w:tcPr>
          <w:p>
            <w:r>
              <w:rPr>
                <w:rFonts w:ascii="Segoe UI" w:hAnsi="Segoe UI"/>
                <w:sz w:val="18"/>
              </w:rPr>
              <w:t>Create shared cloud platform capabilities</w:t>
            </w:r>
          </w:p>
        </w:tc>
        <w:tc>
          <w:tcPr>
            <w:tcW w:type="dxa" w:w="5112"/>
            <w:vAlign w:val="center"/>
          </w:tcPr>
          <w:p>
            <w:r>
              <w:rPr>
                <w:rFonts w:ascii="Segoe UI" w:hAnsi="Segoe UI"/>
                <w:sz w:val="18"/>
              </w:rPr>
              <w:t>Cybersecurity or compliance incidents</w:t>
            </w:r>
          </w:p>
        </w:tc>
      </w:tr>
    </w:tbl>
    <w:p/>
    <w:p>
      <w:pPr>
        <w:pStyle w:val="Heading1"/>
      </w:pPr>
      <w:r>
        <w:t>7. Product roadmap and intellectual property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rFonts w:ascii="Segoe UI" w:hAnsi="Segoe UI"/>
                <w:b/>
                <w:sz w:val="18"/>
              </w:rPr>
              <w:t>Area</w:t>
            </w:r>
          </w:p>
        </w:tc>
        <w:tc>
          <w:tcPr>
            <w:tcW w:type="dxa" w:w="3408"/>
            <w:vAlign w:val="center"/>
            <w:shd w:fill="D9EAF7"/>
          </w:tcPr>
          <w:p>
            <w:r>
              <w:rPr>
                <w:rFonts w:ascii="Segoe UI" w:hAnsi="Segoe UI"/>
                <w:b/>
                <w:sz w:val="18"/>
              </w:rPr>
              <w:t>Current position</w:t>
            </w:r>
          </w:p>
        </w:tc>
        <w:tc>
          <w:tcPr>
            <w:tcW w:type="dxa" w:w="3408"/>
            <w:vAlign w:val="center"/>
            <w:shd w:fill="D9EAF7"/>
          </w:tcPr>
          <w:p>
            <w:r>
              <w:rPr>
                <w:rFonts w:ascii="Segoe UI" w:hAnsi="Segoe UI"/>
                <w:b/>
                <w:sz w:val="18"/>
              </w:rPr>
              <w:t>Diligence / integration focus</w:t>
            </w:r>
          </w:p>
        </w:tc>
      </w:tr>
      <w:tr>
        <w:tc>
          <w:tcPr>
            <w:tcW w:type="dxa" w:w="3408"/>
            <w:vAlign w:val="center"/>
          </w:tcPr>
          <w:p>
            <w:r>
              <w:rPr>
                <w:rFonts w:ascii="Segoe UI" w:hAnsi="Segoe UI"/>
                <w:sz w:val="18"/>
              </w:rPr>
              <w:t>Core platform</w:t>
            </w:r>
          </w:p>
        </w:tc>
        <w:tc>
          <w:tcPr>
            <w:tcW w:type="dxa" w:w="3408"/>
            <w:vAlign w:val="center"/>
          </w:tcPr>
          <w:p>
            <w:r>
              <w:rPr>
                <w:rFonts w:ascii="Segoe UI" w:hAnsi="Segoe UI"/>
                <w:sz w:val="18"/>
              </w:rPr>
              <w:t>Cloud operations and DevSecOps automation</w:t>
            </w:r>
          </w:p>
        </w:tc>
        <w:tc>
          <w:tcPr>
            <w:tcW w:type="dxa" w:w="3408"/>
            <w:vAlign w:val="center"/>
          </w:tcPr>
          <w:p>
            <w:r>
              <w:rPr>
                <w:rFonts w:ascii="Segoe UI" w:hAnsi="Segoe UI"/>
                <w:sz w:val="18"/>
              </w:rPr>
              <w:t>Architecture review and dependency mapping.</w:t>
            </w:r>
          </w:p>
        </w:tc>
      </w:tr>
      <w:tr>
        <w:tc>
          <w:tcPr>
            <w:tcW w:type="dxa" w:w="3408"/>
            <w:vAlign w:val="center"/>
          </w:tcPr>
          <w:p>
            <w:r>
              <w:rPr>
                <w:rFonts w:ascii="Segoe UI" w:hAnsi="Segoe UI"/>
                <w:sz w:val="18"/>
              </w:rPr>
              <w:t>Observability</w:t>
            </w:r>
          </w:p>
        </w:tc>
        <w:tc>
          <w:tcPr>
            <w:tcW w:type="dxa" w:w="3408"/>
            <w:vAlign w:val="center"/>
          </w:tcPr>
          <w:p>
            <w:r>
              <w:rPr>
                <w:rFonts w:ascii="Segoe UI" w:hAnsi="Segoe UI"/>
                <w:sz w:val="18"/>
              </w:rPr>
              <w:t>Application and infrastructure monitoring</w:t>
            </w:r>
          </w:p>
        </w:tc>
        <w:tc>
          <w:tcPr>
            <w:tcW w:type="dxa" w:w="3408"/>
            <w:vAlign w:val="center"/>
          </w:tcPr>
          <w:p>
            <w:r>
              <w:rPr>
                <w:rFonts w:ascii="Segoe UI" w:hAnsi="Segoe UI"/>
                <w:sz w:val="18"/>
              </w:rPr>
              <w:t>Evaluate overlap with Zava monitoring tools.</w:t>
            </w:r>
          </w:p>
        </w:tc>
      </w:tr>
      <w:tr>
        <w:tc>
          <w:tcPr>
            <w:tcW w:type="dxa" w:w="3408"/>
            <w:vAlign w:val="center"/>
          </w:tcPr>
          <w:p>
            <w:r>
              <w:rPr>
                <w:rFonts w:ascii="Segoe UI" w:hAnsi="Segoe UI"/>
                <w:sz w:val="18"/>
              </w:rPr>
              <w:t>Security automation</w:t>
            </w:r>
          </w:p>
        </w:tc>
        <w:tc>
          <w:tcPr>
            <w:tcW w:type="dxa" w:w="3408"/>
            <w:vAlign w:val="center"/>
          </w:tcPr>
          <w:p>
            <w:r>
              <w:rPr>
                <w:rFonts w:ascii="Segoe UI" w:hAnsi="Segoe UI"/>
                <w:sz w:val="18"/>
              </w:rPr>
              <w:t>Policy checks integrated into delivery workflows</w:t>
            </w:r>
          </w:p>
        </w:tc>
        <w:tc>
          <w:tcPr>
            <w:tcW w:type="dxa" w:w="3408"/>
            <w:vAlign w:val="center"/>
          </w:tcPr>
          <w:p>
            <w:r>
              <w:rPr>
                <w:rFonts w:ascii="Segoe UI" w:hAnsi="Segoe UI"/>
                <w:sz w:val="18"/>
              </w:rPr>
              <w:t>Map controls to Zava security standards.</w:t>
            </w:r>
          </w:p>
        </w:tc>
      </w:tr>
      <w:tr>
        <w:tc>
          <w:tcPr>
            <w:tcW w:type="dxa" w:w="3408"/>
            <w:vAlign w:val="center"/>
          </w:tcPr>
          <w:p>
            <w:r>
              <w:rPr>
                <w:rFonts w:ascii="Segoe UI" w:hAnsi="Segoe UI"/>
                <w:sz w:val="18"/>
              </w:rPr>
              <w:t>Analytics</w:t>
            </w:r>
          </w:p>
        </w:tc>
        <w:tc>
          <w:tcPr>
            <w:tcW w:type="dxa" w:w="3408"/>
            <w:vAlign w:val="center"/>
          </w:tcPr>
          <w:p>
            <w:r>
              <w:rPr>
                <w:rFonts w:ascii="Segoe UI" w:hAnsi="Segoe UI"/>
                <w:sz w:val="18"/>
              </w:rPr>
              <w:t>Operational dashboards and alerting</w:t>
            </w:r>
          </w:p>
        </w:tc>
        <w:tc>
          <w:tcPr>
            <w:tcW w:type="dxa" w:w="3408"/>
            <w:vAlign w:val="center"/>
          </w:tcPr>
          <w:p>
            <w:r>
              <w:rPr>
                <w:rFonts w:ascii="Segoe UI" w:hAnsi="Segoe UI"/>
                <w:sz w:val="18"/>
              </w:rPr>
              <w:t>Assess data integration opportunities.</w:t>
            </w:r>
          </w:p>
        </w:tc>
      </w:tr>
      <w:tr>
        <w:tc>
          <w:tcPr>
            <w:tcW w:type="dxa" w:w="3408"/>
            <w:vAlign w:val="center"/>
          </w:tcPr>
          <w:p>
            <w:r>
              <w:rPr>
                <w:rFonts w:ascii="Segoe UI" w:hAnsi="Segoe UI"/>
                <w:sz w:val="18"/>
              </w:rPr>
              <w:t>IP</w:t>
            </w:r>
          </w:p>
        </w:tc>
        <w:tc>
          <w:tcPr>
            <w:tcW w:type="dxa" w:w="3408"/>
            <w:vAlign w:val="center"/>
          </w:tcPr>
          <w:p>
            <w:r>
              <w:rPr>
                <w:rFonts w:ascii="Segoe UI" w:hAnsi="Segoe UI"/>
                <w:sz w:val="18"/>
              </w:rPr>
              <w:t>Proprietary platform code, automation frameworks, deployment templates, and product know-how</w:t>
            </w:r>
          </w:p>
        </w:tc>
        <w:tc>
          <w:tcPr>
            <w:tcW w:type="dxa" w:w="3408"/>
            <w:vAlign w:val="center"/>
          </w:tcPr>
          <w:p>
            <w:r>
              <w:rPr>
                <w:rFonts w:ascii="Segoe UI" w:hAnsi="Segoe UI"/>
                <w:sz w:val="18"/>
              </w:rPr>
              <w:t>Validate ownership, licenses, open-source obligations, patents/trademarks where applicable.</w:t>
            </w:r>
          </w:p>
        </w:tc>
      </w:tr>
    </w:tbl>
    <w:p/>
    <w:p>
      <w:pPr>
        <w:pStyle w:val="Heading1"/>
      </w:pPr>
      <w:r>
        <w:t>8. Scalability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rFonts w:ascii="Segoe UI" w:hAnsi="Segoe UI"/>
                <w:b/>
                <w:sz w:val="18"/>
              </w:rPr>
              <w:t>Dimension</w:t>
            </w:r>
          </w:p>
        </w:tc>
        <w:tc>
          <w:tcPr>
            <w:tcW w:type="dxa" w:w="3408"/>
            <w:vAlign w:val="center"/>
            <w:shd w:fill="D9EAF7"/>
          </w:tcPr>
          <w:p>
            <w:r>
              <w:rPr>
                <w:rFonts w:ascii="Segoe UI" w:hAnsi="Segoe UI"/>
                <w:b/>
                <w:sz w:val="18"/>
              </w:rPr>
              <w:t>Current assessment</w:t>
            </w:r>
          </w:p>
        </w:tc>
        <w:tc>
          <w:tcPr>
            <w:tcW w:type="dxa" w:w="3408"/>
            <w:vAlign w:val="center"/>
            <w:shd w:fill="D9EAF7"/>
          </w:tcPr>
          <w:p>
            <w:r>
              <w:rPr>
                <w:rFonts w:ascii="Segoe UI" w:hAnsi="Segoe UI"/>
                <w:b/>
                <w:sz w:val="18"/>
              </w:rPr>
              <w:t>Target after integration</w:t>
            </w:r>
          </w:p>
        </w:tc>
      </w:tr>
      <w:tr>
        <w:tc>
          <w:tcPr>
            <w:tcW w:type="dxa" w:w="3408"/>
            <w:vAlign w:val="center"/>
          </w:tcPr>
          <w:p>
            <w:r>
              <w:rPr>
                <w:rFonts w:ascii="Segoe UI" w:hAnsi="Segoe UI"/>
                <w:sz w:val="18"/>
              </w:rPr>
              <w:t>DevSecOps maturity</w:t>
            </w:r>
          </w:p>
        </w:tc>
        <w:tc>
          <w:tcPr>
            <w:tcW w:type="dxa" w:w="3408"/>
            <w:vAlign w:val="center"/>
          </w:tcPr>
          <w:p>
            <w:r>
              <w:rPr>
                <w:rFonts w:ascii="Segoe UI" w:hAnsi="Segoe UI"/>
                <w:sz w:val="18"/>
              </w:rPr>
              <w:t>High</w:t>
            </w:r>
          </w:p>
        </w:tc>
        <w:tc>
          <w:tcPr>
            <w:tcW w:type="dxa" w:w="3408"/>
            <w:vAlign w:val="center"/>
          </w:tcPr>
          <w:p>
            <w:r>
              <w:rPr>
                <w:rFonts w:ascii="Segoe UI" w:hAnsi="Segoe UI"/>
                <w:sz w:val="18"/>
              </w:rPr>
              <w:t>Standardize practices across Zava digital teams.</w:t>
            </w:r>
          </w:p>
        </w:tc>
      </w:tr>
      <w:tr>
        <w:tc>
          <w:tcPr>
            <w:tcW w:type="dxa" w:w="3408"/>
            <w:vAlign w:val="center"/>
          </w:tcPr>
          <w:p>
            <w:r>
              <w:rPr>
                <w:rFonts w:ascii="Segoe UI" w:hAnsi="Segoe UI"/>
                <w:sz w:val="18"/>
              </w:rPr>
              <w:t>Infrastructure readiness</w:t>
            </w:r>
          </w:p>
        </w:tc>
        <w:tc>
          <w:tcPr>
            <w:tcW w:type="dxa" w:w="3408"/>
            <w:vAlign w:val="center"/>
          </w:tcPr>
          <w:p>
            <w:r>
              <w:rPr>
                <w:rFonts w:ascii="Segoe UI" w:hAnsi="Segoe UI"/>
                <w:sz w:val="18"/>
              </w:rPr>
              <w:t>High; cloud-native foundation</w:t>
            </w:r>
          </w:p>
        </w:tc>
        <w:tc>
          <w:tcPr>
            <w:tcW w:type="dxa" w:w="3408"/>
            <w:vAlign w:val="center"/>
          </w:tcPr>
          <w:p>
            <w:r>
              <w:rPr>
                <w:rFonts w:ascii="Segoe UI" w:hAnsi="Segoe UI"/>
                <w:sz w:val="18"/>
              </w:rPr>
              <w:t>Extend common landing zones, observability, and governance.</w:t>
            </w:r>
          </w:p>
        </w:tc>
      </w:tr>
      <w:tr>
        <w:tc>
          <w:tcPr>
            <w:tcW w:type="dxa" w:w="3408"/>
            <w:vAlign w:val="center"/>
          </w:tcPr>
          <w:p>
            <w:r>
              <w:rPr>
                <w:rFonts w:ascii="Segoe UI" w:hAnsi="Segoe UI"/>
                <w:sz w:val="18"/>
              </w:rPr>
              <w:t>Organizational scalability</w:t>
            </w:r>
          </w:p>
        </w:tc>
        <w:tc>
          <w:tcPr>
            <w:tcW w:type="dxa" w:w="3408"/>
            <w:vAlign w:val="center"/>
          </w:tcPr>
          <w:p>
            <w:r>
              <w:rPr>
                <w:rFonts w:ascii="Segoe UI" w:hAnsi="Segoe UI"/>
                <w:sz w:val="18"/>
              </w:rPr>
              <w:t>Medium-High</w:t>
            </w:r>
          </w:p>
        </w:tc>
        <w:tc>
          <w:tcPr>
            <w:tcW w:type="dxa" w:w="3408"/>
            <w:vAlign w:val="center"/>
          </w:tcPr>
          <w:p>
            <w:r>
              <w:rPr>
                <w:rFonts w:ascii="Segoe UI" w:hAnsi="Segoe UI"/>
                <w:sz w:val="18"/>
              </w:rPr>
              <w:t>Clarify product/platform ownership and shared services.</w:t>
            </w:r>
          </w:p>
        </w:tc>
      </w:tr>
      <w:tr>
        <w:tc>
          <w:tcPr>
            <w:tcW w:type="dxa" w:w="3408"/>
            <w:vAlign w:val="center"/>
          </w:tcPr>
          <w:p>
            <w:r>
              <w:rPr>
                <w:rFonts w:ascii="Segoe UI" w:hAnsi="Segoe UI"/>
                <w:sz w:val="18"/>
              </w:rPr>
              <w:t>Security/compliance</w:t>
            </w:r>
          </w:p>
        </w:tc>
        <w:tc>
          <w:tcPr>
            <w:tcW w:type="dxa" w:w="3408"/>
            <w:vAlign w:val="center"/>
          </w:tcPr>
          <w:p>
            <w:r>
              <w:rPr>
                <w:rFonts w:ascii="Segoe UI" w:hAnsi="Segoe UI"/>
                <w:sz w:val="18"/>
              </w:rPr>
              <w:t>Medium-High</w:t>
            </w:r>
          </w:p>
        </w:tc>
        <w:tc>
          <w:tcPr>
            <w:tcW w:type="dxa" w:w="3408"/>
            <w:vAlign w:val="center"/>
          </w:tcPr>
          <w:p>
            <w:r>
              <w:rPr>
                <w:rFonts w:ascii="Segoe UI" w:hAnsi="Segoe UI"/>
                <w:sz w:val="18"/>
              </w:rPr>
              <w:t>Harmonize controls, evidence, identity, and audit processes.</w:t>
            </w:r>
          </w:p>
        </w:tc>
      </w:tr>
      <w:tr>
        <w:tc>
          <w:tcPr>
            <w:tcW w:type="dxa" w:w="3408"/>
            <w:vAlign w:val="center"/>
          </w:tcPr>
          <w:p>
            <w:r>
              <w:rPr>
                <w:rFonts w:ascii="Segoe UI" w:hAnsi="Segoe UI"/>
                <w:sz w:val="18"/>
              </w:rPr>
              <w:t>Data integration</w:t>
            </w:r>
          </w:p>
        </w:tc>
        <w:tc>
          <w:tcPr>
            <w:tcW w:type="dxa" w:w="3408"/>
            <w:vAlign w:val="center"/>
          </w:tcPr>
          <w:p>
            <w:r>
              <w:rPr>
                <w:rFonts w:ascii="Segoe UI" w:hAnsi="Segoe UI"/>
                <w:sz w:val="18"/>
              </w:rPr>
              <w:t>Medium</w:t>
            </w:r>
          </w:p>
        </w:tc>
        <w:tc>
          <w:tcPr>
            <w:tcW w:type="dxa" w:w="3408"/>
            <w:vAlign w:val="center"/>
          </w:tcPr>
          <w:p>
            <w:r>
              <w:rPr>
                <w:rFonts w:ascii="Segoe UI" w:hAnsi="Segoe UI"/>
                <w:sz w:val="18"/>
              </w:rPr>
              <w:t>Build governed integration patterns with Zava data platforms.</w:t>
            </w:r>
          </w:p>
        </w:tc>
      </w:tr>
    </w:tbl>
    <w:p/>
    <w:p>
      <w:pPr>
        <w:pStyle w:val="Heading1"/>
      </w:pPr>
      <w:r>
        <w:t>9. Synergy and integration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rFonts w:ascii="Segoe UI" w:hAnsi="Segoe UI"/>
                <w:b/>
                <w:sz w:val="18"/>
              </w:rPr>
              <w:t>Synergy opportunity</w:t>
            </w:r>
          </w:p>
        </w:tc>
        <w:tc>
          <w:tcPr>
            <w:tcW w:type="dxa" w:w="3408"/>
            <w:vAlign w:val="center"/>
            <w:shd w:fill="D9EAF7"/>
          </w:tcPr>
          <w:p>
            <w:r>
              <w:rPr>
                <w:rFonts w:ascii="Segoe UI" w:hAnsi="Segoe UI"/>
                <w:b/>
                <w:sz w:val="18"/>
              </w:rPr>
              <w:t>Illustrative annual run-rate</w:t>
            </w:r>
          </w:p>
        </w:tc>
        <w:tc>
          <w:tcPr>
            <w:tcW w:type="dxa" w:w="3408"/>
            <w:vAlign w:val="center"/>
            <w:shd w:fill="D9EAF7"/>
          </w:tcPr>
          <w:p>
            <w:r>
              <w:rPr>
                <w:rFonts w:ascii="Segoe UI" w:hAnsi="Segoe UI"/>
                <w:b/>
                <w:sz w:val="18"/>
              </w:rPr>
              <w:t>Primary owner</w:t>
            </w:r>
          </w:p>
        </w:tc>
      </w:tr>
      <w:tr>
        <w:tc>
          <w:tcPr>
            <w:tcW w:type="dxa" w:w="3408"/>
            <w:vAlign w:val="center"/>
          </w:tcPr>
          <w:p>
            <w:r>
              <w:rPr>
                <w:rFonts w:ascii="Segoe UI" w:hAnsi="Segoe UI"/>
                <w:sz w:val="18"/>
              </w:rPr>
              <w:t>Cloud/platform consolidation</w:t>
            </w:r>
          </w:p>
        </w:tc>
        <w:tc>
          <w:tcPr>
            <w:tcW w:type="dxa" w:w="3408"/>
            <w:vAlign w:val="center"/>
          </w:tcPr>
          <w:p>
            <w:r>
              <w:rPr>
                <w:rFonts w:ascii="Segoe UI" w:hAnsi="Segoe UI"/>
                <w:sz w:val="18"/>
              </w:rPr>
              <w:t>$2.5M</w:t>
            </w:r>
          </w:p>
        </w:tc>
        <w:tc>
          <w:tcPr>
            <w:tcW w:type="dxa" w:w="3408"/>
            <w:vAlign w:val="center"/>
          </w:tcPr>
          <w:p>
            <w:r>
              <w:rPr>
                <w:rFonts w:ascii="Segoe UI" w:hAnsi="Segoe UI"/>
                <w:sz w:val="18"/>
              </w:rPr>
              <w:t>Technology</w:t>
            </w:r>
          </w:p>
        </w:tc>
      </w:tr>
      <w:tr>
        <w:tc>
          <w:tcPr>
            <w:tcW w:type="dxa" w:w="3408"/>
            <w:vAlign w:val="center"/>
          </w:tcPr>
          <w:p>
            <w:r>
              <w:rPr>
                <w:rFonts w:ascii="Segoe UI" w:hAnsi="Segoe UI"/>
                <w:sz w:val="18"/>
              </w:rPr>
              <w:t>Shared corporate services</w:t>
            </w:r>
          </w:p>
        </w:tc>
        <w:tc>
          <w:tcPr>
            <w:tcW w:type="dxa" w:w="3408"/>
            <w:vAlign w:val="center"/>
          </w:tcPr>
          <w:p>
            <w:r>
              <w:rPr>
                <w:rFonts w:ascii="Segoe UI" w:hAnsi="Segoe UI"/>
                <w:sz w:val="18"/>
              </w:rPr>
              <w:t>$1.8M</w:t>
            </w:r>
          </w:p>
        </w:tc>
        <w:tc>
          <w:tcPr>
            <w:tcW w:type="dxa" w:w="3408"/>
            <w:vAlign w:val="center"/>
          </w:tcPr>
          <w:p>
            <w:r>
              <w:rPr>
                <w:rFonts w:ascii="Segoe UI" w:hAnsi="Segoe UI"/>
                <w:sz w:val="18"/>
              </w:rPr>
              <w:t>Finance / HR</w:t>
            </w:r>
          </w:p>
        </w:tc>
      </w:tr>
      <w:tr>
        <w:tc>
          <w:tcPr>
            <w:tcW w:type="dxa" w:w="3408"/>
            <w:vAlign w:val="center"/>
          </w:tcPr>
          <w:p>
            <w:r>
              <w:rPr>
                <w:rFonts w:ascii="Segoe UI" w:hAnsi="Segoe UI"/>
                <w:sz w:val="18"/>
              </w:rPr>
              <w:t>Vendor and infrastructure optimization</w:t>
            </w:r>
          </w:p>
        </w:tc>
        <w:tc>
          <w:tcPr>
            <w:tcW w:type="dxa" w:w="3408"/>
            <w:vAlign w:val="center"/>
          </w:tcPr>
          <w:p>
            <w:r>
              <w:rPr>
                <w:rFonts w:ascii="Segoe UI" w:hAnsi="Segoe UI"/>
                <w:sz w:val="18"/>
              </w:rPr>
              <w:t>$1.2M</w:t>
            </w:r>
          </w:p>
        </w:tc>
        <w:tc>
          <w:tcPr>
            <w:tcW w:type="dxa" w:w="3408"/>
            <w:vAlign w:val="center"/>
          </w:tcPr>
          <w:p>
            <w:r>
              <w:rPr>
                <w:rFonts w:ascii="Segoe UI" w:hAnsi="Segoe UI"/>
                <w:sz w:val="18"/>
              </w:rPr>
              <w:t>Procurement / Technology</w:t>
            </w:r>
          </w:p>
        </w:tc>
      </w:tr>
      <w:tr>
        <w:tc>
          <w:tcPr>
            <w:tcW w:type="dxa" w:w="3408"/>
            <w:vAlign w:val="center"/>
          </w:tcPr>
          <w:p>
            <w:r>
              <w:rPr>
                <w:rFonts w:ascii="Segoe UI" w:hAnsi="Segoe UI"/>
                <w:sz w:val="18"/>
              </w:rPr>
              <w:t>Cross-sell and retail platform expansion</w:t>
            </w:r>
          </w:p>
        </w:tc>
        <w:tc>
          <w:tcPr>
            <w:tcW w:type="dxa" w:w="3408"/>
            <w:vAlign w:val="center"/>
          </w:tcPr>
          <w:p>
            <w:r>
              <w:rPr>
                <w:rFonts w:ascii="Segoe UI" w:hAnsi="Segoe UI"/>
                <w:sz w:val="18"/>
              </w:rPr>
              <w:t>$4.0M revenue opportunity</w:t>
            </w:r>
          </w:p>
        </w:tc>
        <w:tc>
          <w:tcPr>
            <w:tcW w:type="dxa" w:w="3408"/>
            <w:vAlign w:val="center"/>
          </w:tcPr>
          <w:p>
            <w:r>
              <w:rPr>
                <w:rFonts w:ascii="Segoe UI" w:hAnsi="Segoe UI"/>
                <w:sz w:val="18"/>
              </w:rPr>
              <w:t>Commercial / Product</w:t>
            </w:r>
          </w:p>
        </w:tc>
      </w:tr>
      <w:tr>
        <w:tc>
          <w:tcPr>
            <w:tcW w:type="dxa" w:w="3408"/>
            <w:vAlign w:val="center"/>
          </w:tcPr>
          <w:p>
            <w:r>
              <w:rPr>
                <w:rFonts w:ascii="Segoe UI" w:hAnsi="Segoe UI"/>
                <w:sz w:val="18"/>
              </w:rPr>
              <w:t>Engineering reuse and productivity</w:t>
            </w:r>
          </w:p>
        </w:tc>
        <w:tc>
          <w:tcPr>
            <w:tcW w:type="dxa" w:w="3408"/>
            <w:vAlign w:val="center"/>
          </w:tcPr>
          <w:p>
            <w:r>
              <w:rPr>
                <w:rFonts w:ascii="Segoe UI" w:hAnsi="Segoe UI"/>
                <w:sz w:val="18"/>
              </w:rPr>
              <w:t>$2.0M equivalent capacity</w:t>
            </w:r>
          </w:p>
        </w:tc>
        <w:tc>
          <w:tcPr>
            <w:tcW w:type="dxa" w:w="3408"/>
            <w:vAlign w:val="center"/>
          </w:tcPr>
          <w:p>
            <w:r>
              <w:rPr>
                <w:rFonts w:ascii="Segoe UI" w:hAnsi="Segoe UI"/>
                <w:sz w:val="18"/>
              </w:rPr>
              <w:t>Engineering</w:t>
            </w:r>
          </w:p>
        </w:tc>
      </w:tr>
    </w:tbl>
    <w:p/>
    <w:p>
      <w:r>
        <w:t>These synergy values are illustrative planning assumptions for the lab. They should be validated through detailed cost baselines, contract reviews, architecture assessment, and customer/product diligence.</w:t>
      </w:r>
    </w:p>
    <w:p>
      <w:pPr>
        <w:pStyle w:val="Heading1"/>
      </w:pPr>
      <w:r>
        <w:t>10. Integration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rFonts w:ascii="Segoe UI" w:hAnsi="Segoe UI"/>
                <w:b/>
                <w:sz w:val="18"/>
              </w:rPr>
              <w:t>Risk</w:t>
            </w:r>
          </w:p>
        </w:tc>
        <w:tc>
          <w:tcPr>
            <w:tcW w:type="dxa" w:w="3408"/>
            <w:vAlign w:val="center"/>
            <w:shd w:fill="D9EAF7"/>
          </w:tcPr>
          <w:p>
            <w:r>
              <w:rPr>
                <w:rFonts w:ascii="Segoe UI" w:hAnsi="Segoe UI"/>
                <w:b/>
                <w:sz w:val="18"/>
              </w:rPr>
              <w:t>Impact</w:t>
            </w:r>
          </w:p>
        </w:tc>
        <w:tc>
          <w:tcPr>
            <w:tcW w:type="dxa" w:w="3408"/>
            <w:vAlign w:val="center"/>
            <w:shd w:fill="D9EAF7"/>
          </w:tcPr>
          <w:p>
            <w:r>
              <w:rPr>
                <w:rFonts w:ascii="Segoe UI" w:hAnsi="Segoe UI"/>
                <w:b/>
                <w:sz w:val="18"/>
              </w:rPr>
              <w:t>Mitigation</w:t>
            </w:r>
          </w:p>
        </w:tc>
      </w:tr>
      <w:tr>
        <w:tc>
          <w:tcPr>
            <w:tcW w:type="dxa" w:w="3408"/>
            <w:vAlign w:val="center"/>
          </w:tcPr>
          <w:p>
            <w:r>
              <w:rPr>
                <w:rFonts w:ascii="Segoe UI" w:hAnsi="Segoe UI"/>
                <w:sz w:val="18"/>
              </w:rPr>
              <w:t>Key talent attrition</w:t>
            </w:r>
          </w:p>
        </w:tc>
        <w:tc>
          <w:tcPr>
            <w:tcW w:type="dxa" w:w="3408"/>
            <w:vAlign w:val="center"/>
          </w:tcPr>
          <w:p>
            <w:r>
              <w:rPr>
                <w:rFonts w:ascii="Segoe UI" w:hAnsi="Segoe UI"/>
                <w:sz w:val="18"/>
              </w:rPr>
              <w:t>High</w:t>
            </w:r>
          </w:p>
        </w:tc>
        <w:tc>
          <w:tcPr>
            <w:tcW w:type="dxa" w:w="3408"/>
            <w:vAlign w:val="center"/>
          </w:tcPr>
          <w:p>
            <w:r>
              <w:rPr>
                <w:rFonts w:ascii="Segoe UI" w:hAnsi="Segoe UI"/>
                <w:sz w:val="18"/>
              </w:rPr>
              <w:t>Retention packages, role clarity, technical leadership continuity.</w:t>
            </w:r>
          </w:p>
        </w:tc>
      </w:tr>
      <w:tr>
        <w:tc>
          <w:tcPr>
            <w:tcW w:type="dxa" w:w="3408"/>
            <w:vAlign w:val="center"/>
          </w:tcPr>
          <w:p>
            <w:r>
              <w:rPr>
                <w:rFonts w:ascii="Segoe UI" w:hAnsi="Segoe UI"/>
                <w:sz w:val="18"/>
              </w:rPr>
              <w:t>Customer disruption</w:t>
            </w:r>
          </w:p>
        </w:tc>
        <w:tc>
          <w:tcPr>
            <w:tcW w:type="dxa" w:w="3408"/>
            <w:vAlign w:val="center"/>
          </w:tcPr>
          <w:p>
            <w:r>
              <w:rPr>
                <w:rFonts w:ascii="Segoe UI" w:hAnsi="Segoe UI"/>
                <w:sz w:val="18"/>
              </w:rPr>
              <w:t>High</w:t>
            </w:r>
          </w:p>
        </w:tc>
        <w:tc>
          <w:tcPr>
            <w:tcW w:type="dxa" w:w="3408"/>
            <w:vAlign w:val="center"/>
          </w:tcPr>
          <w:p>
            <w:r>
              <w:rPr>
                <w:rFonts w:ascii="Segoe UI" w:hAnsi="Segoe UI"/>
                <w:sz w:val="18"/>
              </w:rPr>
              <w:t>Customer communication plan, service continuity controls, account-level retention plans.</w:t>
            </w:r>
          </w:p>
        </w:tc>
      </w:tr>
      <w:tr>
        <w:tc>
          <w:tcPr>
            <w:tcW w:type="dxa" w:w="3408"/>
            <w:vAlign w:val="center"/>
          </w:tcPr>
          <w:p>
            <w:r>
              <w:rPr>
                <w:rFonts w:ascii="Segoe UI" w:hAnsi="Segoe UI"/>
                <w:sz w:val="18"/>
              </w:rPr>
              <w:t>Technology integration complexity</w:t>
            </w:r>
          </w:p>
        </w:tc>
        <w:tc>
          <w:tcPr>
            <w:tcW w:type="dxa" w:w="3408"/>
            <w:vAlign w:val="center"/>
          </w:tcPr>
          <w:p>
            <w:r>
              <w:rPr>
                <w:rFonts w:ascii="Segoe UI" w:hAnsi="Segoe UI"/>
                <w:sz w:val="18"/>
              </w:rPr>
              <w:t>High</w:t>
            </w:r>
          </w:p>
        </w:tc>
        <w:tc>
          <w:tcPr>
            <w:tcW w:type="dxa" w:w="3408"/>
            <w:vAlign w:val="center"/>
          </w:tcPr>
          <w:p>
            <w:r>
              <w:rPr>
                <w:rFonts w:ascii="Segoe UI" w:hAnsi="Segoe UI"/>
                <w:sz w:val="18"/>
              </w:rPr>
              <w:t>Phased architecture integration; preserve stable interfaces during transition.</w:t>
            </w:r>
          </w:p>
        </w:tc>
      </w:tr>
      <w:tr>
        <w:tc>
          <w:tcPr>
            <w:tcW w:type="dxa" w:w="3408"/>
            <w:vAlign w:val="center"/>
          </w:tcPr>
          <w:p>
            <w:r>
              <w:rPr>
                <w:rFonts w:ascii="Segoe UI" w:hAnsi="Segoe UI"/>
                <w:sz w:val="18"/>
              </w:rPr>
              <w:t>Security/compliance mismatch</w:t>
            </w:r>
          </w:p>
        </w:tc>
        <w:tc>
          <w:tcPr>
            <w:tcW w:type="dxa" w:w="3408"/>
            <w:vAlign w:val="center"/>
          </w:tcPr>
          <w:p>
            <w:r>
              <w:rPr>
                <w:rFonts w:ascii="Segoe UI" w:hAnsi="Segoe UI"/>
                <w:sz w:val="18"/>
              </w:rPr>
              <w:t>High</w:t>
            </w:r>
          </w:p>
        </w:tc>
        <w:tc>
          <w:tcPr>
            <w:tcW w:type="dxa" w:w="3408"/>
            <w:vAlign w:val="center"/>
          </w:tcPr>
          <w:p>
            <w:r>
              <w:rPr>
                <w:rFonts w:ascii="Segoe UI" w:hAnsi="Segoe UI"/>
                <w:sz w:val="18"/>
              </w:rPr>
              <w:t>Joint control assessment, identity integration, audit evidence mapping.</w:t>
            </w:r>
          </w:p>
        </w:tc>
      </w:tr>
      <w:tr>
        <w:tc>
          <w:tcPr>
            <w:tcW w:type="dxa" w:w="3408"/>
            <w:vAlign w:val="center"/>
          </w:tcPr>
          <w:p>
            <w:r>
              <w:rPr>
                <w:rFonts w:ascii="Segoe UI" w:hAnsi="Segoe UI"/>
                <w:sz w:val="18"/>
              </w:rPr>
              <w:t>Cultural friction</w:t>
            </w:r>
          </w:p>
        </w:tc>
        <w:tc>
          <w:tcPr>
            <w:tcW w:type="dxa" w:w="3408"/>
            <w:vAlign w:val="center"/>
          </w:tcPr>
          <w:p>
            <w:r>
              <w:rPr>
                <w:rFonts w:ascii="Segoe UI" w:hAnsi="Segoe UI"/>
                <w:sz w:val="18"/>
              </w:rPr>
              <w:t>Medium</w:t>
            </w:r>
          </w:p>
        </w:tc>
        <w:tc>
          <w:tcPr>
            <w:tcW w:type="dxa" w:w="3408"/>
            <w:vAlign w:val="center"/>
          </w:tcPr>
          <w:p>
            <w:r>
              <w:rPr>
                <w:rFonts w:ascii="Segoe UI" w:hAnsi="Segoe UI"/>
                <w:sz w:val="18"/>
              </w:rPr>
              <w:t>Joint leadership forums, clear decision rights, structured onboarding.</w:t>
            </w:r>
          </w:p>
        </w:tc>
      </w:tr>
      <w:tr>
        <w:tc>
          <w:tcPr>
            <w:tcW w:type="dxa" w:w="3408"/>
            <w:vAlign w:val="center"/>
          </w:tcPr>
          <w:p>
            <w:r>
              <w:rPr>
                <w:rFonts w:ascii="Segoe UI" w:hAnsi="Segoe UI"/>
                <w:sz w:val="18"/>
              </w:rPr>
              <w:t>Synergy overestimation</w:t>
            </w:r>
          </w:p>
        </w:tc>
        <w:tc>
          <w:tcPr>
            <w:tcW w:type="dxa" w:w="3408"/>
            <w:vAlign w:val="center"/>
          </w:tcPr>
          <w:p>
            <w:r>
              <w:rPr>
                <w:rFonts w:ascii="Segoe UI" w:hAnsi="Segoe UI"/>
                <w:sz w:val="18"/>
              </w:rPr>
              <w:t>Medium</w:t>
            </w:r>
          </w:p>
        </w:tc>
        <w:tc>
          <w:tcPr>
            <w:tcW w:type="dxa" w:w="3408"/>
            <w:vAlign w:val="center"/>
          </w:tcPr>
          <w:p>
            <w:r>
              <w:rPr>
                <w:rFonts w:ascii="Segoe UI" w:hAnsi="Segoe UI"/>
                <w:sz w:val="18"/>
              </w:rPr>
              <w:t>Stage-gate synergy tracking with accountable owners and measurable baselines.</w:t>
            </w:r>
          </w:p>
        </w:tc>
      </w:tr>
    </w:tbl>
    <w:p/>
    <w:p>
      <w:pPr>
        <w:pStyle w:val="Heading1"/>
      </w:pPr>
      <w:r>
        <w:t>11. Leadership and organizational review</w:t>
      </w:r>
    </w:p>
    <w:p>
      <w:r>
        <w:t>Relecloud's management structure is assumed to be founder-influenced but increasingly professionalized, with dedicated leaders for engineering, product, sales, customer success, finance, and security. Zava should assess which leaders are required for continuity, which functions can be consolidated, and which capabilities must remain independent during the first integration phase.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rFonts w:ascii="Segoe UI" w:hAnsi="Segoe UI"/>
                <w:b/>
                <w:sz w:val="18"/>
              </w:rPr>
              <w:t>Leadership area</w:t>
            </w:r>
          </w:p>
        </w:tc>
        <w:tc>
          <w:tcPr>
            <w:tcW w:type="dxa" w:w="5112"/>
            <w:vAlign w:val="center"/>
            <w:shd w:fill="D9EAF7"/>
          </w:tcPr>
          <w:p>
            <w:r>
              <w:rPr>
                <w:rFonts w:ascii="Segoe UI" w:hAnsi="Segoe UI"/>
                <w:b/>
                <w:sz w:val="18"/>
              </w:rPr>
              <w:t>Review focus</w:t>
            </w:r>
          </w:p>
        </w:tc>
      </w:tr>
      <w:tr>
        <w:tc>
          <w:tcPr>
            <w:tcW w:type="dxa" w:w="5112"/>
            <w:vAlign w:val="center"/>
          </w:tcPr>
          <w:p>
            <w:r>
              <w:rPr>
                <w:rFonts w:ascii="Segoe UI" w:hAnsi="Segoe UI"/>
                <w:sz w:val="18"/>
              </w:rPr>
              <w:t>CEO / executive leadership</w:t>
            </w:r>
          </w:p>
        </w:tc>
        <w:tc>
          <w:tcPr>
            <w:tcW w:type="dxa" w:w="5112"/>
            <w:vAlign w:val="center"/>
          </w:tcPr>
          <w:p>
            <w:r>
              <w:rPr>
                <w:rFonts w:ascii="Segoe UI" w:hAnsi="Segoe UI"/>
                <w:sz w:val="18"/>
              </w:rPr>
              <w:t>Track record, retention risk, strategic alignment.</w:t>
            </w:r>
          </w:p>
        </w:tc>
      </w:tr>
      <w:tr>
        <w:tc>
          <w:tcPr>
            <w:tcW w:type="dxa" w:w="5112"/>
            <w:vAlign w:val="center"/>
          </w:tcPr>
          <w:p>
            <w:r>
              <w:rPr>
                <w:rFonts w:ascii="Segoe UI" w:hAnsi="Segoe UI"/>
                <w:sz w:val="18"/>
              </w:rPr>
              <w:t>Engineering</w:t>
            </w:r>
          </w:p>
        </w:tc>
        <w:tc>
          <w:tcPr>
            <w:tcW w:type="dxa" w:w="5112"/>
            <w:vAlign w:val="center"/>
          </w:tcPr>
          <w:p>
            <w:r>
              <w:rPr>
                <w:rFonts w:ascii="Segoe UI" w:hAnsi="Segoe UI"/>
                <w:sz w:val="18"/>
              </w:rPr>
              <w:t>Key-person dependency, architecture ownership, delivery capacity.</w:t>
            </w:r>
          </w:p>
        </w:tc>
      </w:tr>
      <w:tr>
        <w:tc>
          <w:tcPr>
            <w:tcW w:type="dxa" w:w="5112"/>
            <w:vAlign w:val="center"/>
          </w:tcPr>
          <w:p>
            <w:r>
              <w:rPr>
                <w:rFonts w:ascii="Segoe UI" w:hAnsi="Segoe UI"/>
                <w:sz w:val="18"/>
              </w:rPr>
              <w:t>Product</w:t>
            </w:r>
          </w:p>
        </w:tc>
        <w:tc>
          <w:tcPr>
            <w:tcW w:type="dxa" w:w="5112"/>
            <w:vAlign w:val="center"/>
          </w:tcPr>
          <w:p>
            <w:r>
              <w:rPr>
                <w:rFonts w:ascii="Segoe UI" w:hAnsi="Segoe UI"/>
                <w:sz w:val="18"/>
              </w:rPr>
              <w:t>Roadmap commitments, customer dependencies, product overlap.</w:t>
            </w:r>
          </w:p>
        </w:tc>
      </w:tr>
      <w:tr>
        <w:tc>
          <w:tcPr>
            <w:tcW w:type="dxa" w:w="5112"/>
            <w:vAlign w:val="center"/>
          </w:tcPr>
          <w:p>
            <w:r>
              <w:rPr>
                <w:rFonts w:ascii="Segoe UI" w:hAnsi="Segoe UI"/>
                <w:sz w:val="18"/>
              </w:rPr>
              <w:t>Sales / customer success</w:t>
            </w:r>
          </w:p>
        </w:tc>
        <w:tc>
          <w:tcPr>
            <w:tcW w:type="dxa" w:w="5112"/>
            <w:vAlign w:val="center"/>
          </w:tcPr>
          <w:p>
            <w:r>
              <w:rPr>
                <w:rFonts w:ascii="Segoe UI" w:hAnsi="Segoe UI"/>
                <w:sz w:val="18"/>
              </w:rPr>
              <w:t>Renewal pipeline, top-account relationships, cross-sell potential.</w:t>
            </w:r>
          </w:p>
        </w:tc>
      </w:tr>
      <w:tr>
        <w:tc>
          <w:tcPr>
            <w:tcW w:type="dxa" w:w="5112"/>
            <w:vAlign w:val="center"/>
          </w:tcPr>
          <w:p>
            <w:r>
              <w:rPr>
                <w:rFonts w:ascii="Segoe UI" w:hAnsi="Segoe UI"/>
                <w:sz w:val="18"/>
              </w:rPr>
              <w:t>Finance / operations</w:t>
            </w:r>
          </w:p>
        </w:tc>
        <w:tc>
          <w:tcPr>
            <w:tcW w:type="dxa" w:w="5112"/>
            <w:vAlign w:val="center"/>
          </w:tcPr>
          <w:p>
            <w:r>
              <w:rPr>
                <w:rFonts w:ascii="Segoe UI" w:hAnsi="Segoe UI"/>
                <w:sz w:val="18"/>
              </w:rPr>
              <w:t>Controls, reporting cadence, contract and vendor management.</w:t>
            </w:r>
          </w:p>
        </w:tc>
      </w:tr>
      <w:tr>
        <w:tc>
          <w:tcPr>
            <w:tcW w:type="dxa" w:w="5112"/>
            <w:vAlign w:val="center"/>
          </w:tcPr>
          <w:p>
            <w:r>
              <w:rPr>
                <w:rFonts w:ascii="Segoe UI" w:hAnsi="Segoe UI"/>
                <w:sz w:val="18"/>
              </w:rPr>
              <w:t>Security / compliance</w:t>
            </w:r>
          </w:p>
        </w:tc>
        <w:tc>
          <w:tcPr>
            <w:tcW w:type="dxa" w:w="5112"/>
            <w:vAlign w:val="center"/>
          </w:tcPr>
          <w:p>
            <w:r>
              <w:rPr>
                <w:rFonts w:ascii="Segoe UI" w:hAnsi="Segoe UI"/>
                <w:sz w:val="18"/>
              </w:rPr>
              <w:t>Control maturity, incidents, certifications, regulatory obligations.</w:t>
            </w:r>
          </w:p>
        </w:tc>
      </w:tr>
    </w:tbl>
    <w:p/>
    <w:p>
      <w:pPr>
        <w:pStyle w:val="Heading1"/>
      </w:pPr>
      <w:r>
        <w:t>12. Post-merger integration timeline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rFonts w:ascii="Segoe UI" w:hAnsi="Segoe UI"/>
                <w:b/>
                <w:sz w:val="18"/>
              </w:rPr>
              <w:t>Phase</w:t>
            </w:r>
          </w:p>
        </w:tc>
        <w:tc>
          <w:tcPr>
            <w:tcW w:type="dxa" w:w="3408"/>
            <w:vAlign w:val="center"/>
            <w:shd w:fill="D9EAF7"/>
          </w:tcPr>
          <w:p>
            <w:r>
              <w:rPr>
                <w:rFonts w:ascii="Segoe UI" w:hAnsi="Segoe UI"/>
                <w:b/>
                <w:sz w:val="18"/>
              </w:rPr>
              <w:t>Timing</w:t>
            </w:r>
          </w:p>
        </w:tc>
        <w:tc>
          <w:tcPr>
            <w:tcW w:type="dxa" w:w="3408"/>
            <w:vAlign w:val="center"/>
            <w:shd w:fill="D9EAF7"/>
          </w:tcPr>
          <w:p>
            <w:r>
              <w:rPr>
                <w:rFonts w:ascii="Segoe UI" w:hAnsi="Segoe UI"/>
                <w:b/>
                <w:sz w:val="18"/>
              </w:rPr>
              <w:t>Key milestones</w:t>
            </w:r>
          </w:p>
        </w:tc>
      </w:tr>
      <w:tr>
        <w:tc>
          <w:tcPr>
            <w:tcW w:type="dxa" w:w="3408"/>
            <w:vAlign w:val="center"/>
          </w:tcPr>
          <w:p>
            <w:r>
              <w:rPr>
                <w:rFonts w:ascii="Segoe UI" w:hAnsi="Segoe UI"/>
                <w:sz w:val="18"/>
              </w:rPr>
              <w:t>Phase 0 – Diligence and planning</w:t>
            </w:r>
          </w:p>
        </w:tc>
        <w:tc>
          <w:tcPr>
            <w:tcW w:type="dxa" w:w="3408"/>
            <w:vAlign w:val="center"/>
          </w:tcPr>
          <w:p>
            <w:r>
              <w:rPr>
                <w:rFonts w:ascii="Segoe UI" w:hAnsi="Segoe UI"/>
                <w:sz w:val="18"/>
              </w:rPr>
              <w:t>Weeks 0–4</w:t>
            </w:r>
          </w:p>
        </w:tc>
        <w:tc>
          <w:tcPr>
            <w:tcW w:type="dxa" w:w="3408"/>
            <w:vAlign w:val="center"/>
          </w:tcPr>
          <w:p>
            <w:r>
              <w:rPr>
                <w:rFonts w:ascii="Segoe UI" w:hAnsi="Segoe UI"/>
                <w:sz w:val="18"/>
              </w:rPr>
              <w:t>Architecture, security, financial, legal, customer, and talent diligence; confirm Day 1 plan.</w:t>
            </w:r>
          </w:p>
        </w:tc>
      </w:tr>
      <w:tr>
        <w:tc>
          <w:tcPr>
            <w:tcW w:type="dxa" w:w="3408"/>
            <w:vAlign w:val="center"/>
          </w:tcPr>
          <w:p>
            <w:r>
              <w:rPr>
                <w:rFonts w:ascii="Segoe UI" w:hAnsi="Segoe UI"/>
                <w:sz w:val="18"/>
              </w:rPr>
              <w:t>Phase 1 – Day 1 readiness</w:t>
            </w:r>
          </w:p>
        </w:tc>
        <w:tc>
          <w:tcPr>
            <w:tcW w:type="dxa" w:w="3408"/>
            <w:vAlign w:val="center"/>
          </w:tcPr>
          <w:p>
            <w:r>
              <w:rPr>
                <w:rFonts w:ascii="Segoe UI" w:hAnsi="Segoe UI"/>
                <w:sz w:val="18"/>
              </w:rPr>
              <w:t>Weeks 5–8</w:t>
            </w:r>
          </w:p>
        </w:tc>
        <w:tc>
          <w:tcPr>
            <w:tcW w:type="dxa" w:w="3408"/>
            <w:vAlign w:val="center"/>
          </w:tcPr>
          <w:p>
            <w:r>
              <w:rPr>
                <w:rFonts w:ascii="Segoe UI" w:hAnsi="Segoe UI"/>
                <w:sz w:val="18"/>
              </w:rPr>
              <w:t>Leadership alignment, communications, access/identity plan, service continuity controls.</w:t>
            </w:r>
          </w:p>
        </w:tc>
      </w:tr>
      <w:tr>
        <w:tc>
          <w:tcPr>
            <w:tcW w:type="dxa" w:w="3408"/>
            <w:vAlign w:val="center"/>
          </w:tcPr>
          <w:p>
            <w:r>
              <w:rPr>
                <w:rFonts w:ascii="Segoe UI" w:hAnsi="Segoe UI"/>
                <w:sz w:val="18"/>
              </w:rPr>
              <w:t>Phase 2 – Stabilization</w:t>
            </w:r>
          </w:p>
        </w:tc>
        <w:tc>
          <w:tcPr>
            <w:tcW w:type="dxa" w:w="3408"/>
            <w:vAlign w:val="center"/>
          </w:tcPr>
          <w:p>
            <w:r>
              <w:rPr>
                <w:rFonts w:ascii="Segoe UI" w:hAnsi="Segoe UI"/>
                <w:sz w:val="18"/>
              </w:rPr>
              <w:t>Months 3–4</w:t>
            </w:r>
          </w:p>
        </w:tc>
        <w:tc>
          <w:tcPr>
            <w:tcW w:type="dxa" w:w="3408"/>
            <w:vAlign w:val="center"/>
          </w:tcPr>
          <w:p>
            <w:r>
              <w:rPr>
                <w:rFonts w:ascii="Segoe UI" w:hAnsi="Segoe UI"/>
                <w:sz w:val="18"/>
              </w:rPr>
              <w:t>Integrate reporting, procurement, selected corporate services, and operational governance.</w:t>
            </w:r>
          </w:p>
        </w:tc>
      </w:tr>
      <w:tr>
        <w:tc>
          <w:tcPr>
            <w:tcW w:type="dxa" w:w="3408"/>
            <w:vAlign w:val="center"/>
          </w:tcPr>
          <w:p>
            <w:r>
              <w:rPr>
                <w:rFonts w:ascii="Segoe UI" w:hAnsi="Segoe UI"/>
                <w:sz w:val="18"/>
              </w:rPr>
              <w:t>Phase 3 – Platform integration</w:t>
            </w:r>
          </w:p>
        </w:tc>
        <w:tc>
          <w:tcPr>
            <w:tcW w:type="dxa" w:w="3408"/>
            <w:vAlign w:val="center"/>
          </w:tcPr>
          <w:p>
            <w:r>
              <w:rPr>
                <w:rFonts w:ascii="Segoe UI" w:hAnsi="Segoe UI"/>
                <w:sz w:val="18"/>
              </w:rPr>
              <w:t>Months 5–8</w:t>
            </w:r>
          </w:p>
        </w:tc>
        <w:tc>
          <w:tcPr>
            <w:tcW w:type="dxa" w:w="3408"/>
            <w:vAlign w:val="center"/>
          </w:tcPr>
          <w:p>
            <w:r>
              <w:rPr>
                <w:rFonts w:ascii="Segoe UI" w:hAnsi="Segoe UI"/>
                <w:sz w:val="18"/>
              </w:rPr>
              <w:t>Cloud governance, observability, identity, data integration, and shared DevSecOps standards.</w:t>
            </w:r>
          </w:p>
        </w:tc>
      </w:tr>
      <w:tr>
        <w:tc>
          <w:tcPr>
            <w:tcW w:type="dxa" w:w="3408"/>
            <w:vAlign w:val="center"/>
          </w:tcPr>
          <w:p>
            <w:r>
              <w:rPr>
                <w:rFonts w:ascii="Segoe UI" w:hAnsi="Segoe UI"/>
                <w:sz w:val="18"/>
              </w:rPr>
              <w:t>Phase 4 – Synergy realization</w:t>
            </w:r>
          </w:p>
        </w:tc>
        <w:tc>
          <w:tcPr>
            <w:tcW w:type="dxa" w:w="3408"/>
            <w:vAlign w:val="center"/>
          </w:tcPr>
          <w:p>
            <w:r>
              <w:rPr>
                <w:rFonts w:ascii="Segoe UI" w:hAnsi="Segoe UI"/>
                <w:sz w:val="18"/>
              </w:rPr>
              <w:t>Months 9–12</w:t>
            </w:r>
          </w:p>
        </w:tc>
        <w:tc>
          <w:tcPr>
            <w:tcW w:type="dxa" w:w="3408"/>
            <w:vAlign w:val="center"/>
          </w:tcPr>
          <w:p>
            <w:r>
              <w:rPr>
                <w:rFonts w:ascii="Segoe UI" w:hAnsi="Segoe UI"/>
                <w:sz w:val="18"/>
              </w:rPr>
              <w:t>Vendor consolidation, operating model optimization, cross-sell pilots, and KPI tracking.</w:t>
            </w:r>
          </w:p>
        </w:tc>
      </w:tr>
    </w:tbl>
    <w:p/>
    <w:p>
      <w:pPr>
        <w:pStyle w:val="Heading1"/>
      </w:pPr>
      <w:r>
        <w:t>13. Recommended leadership questions</w:t>
      </w:r>
    </w:p>
    <w:p>
      <w:pPr>
        <w:pStyle w:val="ListBullet"/>
      </w:pPr>
      <w:r>
        <w:t>What percentage of revenue is contractually committed for the next 12–24 months?</w:t>
      </w:r>
    </w:p>
    <w:p>
      <w:pPr>
        <w:pStyle w:val="ListBullet"/>
      </w:pPr>
      <w:r>
        <w:t>How concentrated are renewals by customer and renewal date?</w:t>
      </w:r>
    </w:p>
    <w:p>
      <w:pPr>
        <w:pStyle w:val="ListBullet"/>
      </w:pPr>
      <w:r>
        <w:t>Which technical leaders are critical to platform continuity?</w:t>
      </w:r>
    </w:p>
    <w:p>
      <w:pPr>
        <w:pStyle w:val="ListBullet"/>
      </w:pPr>
      <w:r>
        <w:t>What technology or security controls require remediation before integration?</w:t>
      </w:r>
    </w:p>
    <w:p>
      <w:pPr>
        <w:pStyle w:val="ListBullet"/>
      </w:pPr>
      <w:r>
        <w:t>Which synergies are cost-based versus revenue-based, and how will each be measured?</w:t>
      </w:r>
    </w:p>
    <w:p>
      <w:pPr>
        <w:pStyle w:val="ListBullet"/>
      </w:pPr>
      <w:r>
        <w:t>What customer-facing changes could create churn risk?</w:t>
      </w:r>
    </w:p>
    <w:p>
      <w:pPr>
        <w:pStyle w:val="ListBullet"/>
      </w:pPr>
      <w:r>
        <w:t>Which Relecloud products should remain standalone versus integrate with Zava platforms?</w:t>
      </w:r>
    </w:p>
    <w:p>
      <w:pPr>
        <w:pStyle w:val="Heading1"/>
      </w:pPr>
      <w:r>
        <w:t>14. Data-use note</w:t>
      </w:r>
    </w:p>
    <w:p>
      <w:r>
        <w:t>This document is a synthetic lab artifact prepared to support Microsoft 365 Copilot Lab 6. Financial values, customer concentration figures, organizational details, and synergy estimates are illustrative training data. They should not be interpreted as verified information about an actual company.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