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77777777"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w:t>
      </w:r>
      <w:proofErr w:type="gramStart"/>
      <w:r>
        <w:rPr>
          <w:rFonts w:ascii="Times" w:eastAsia="Times" w:hAnsi="Times" w:cs="Times"/>
          <w:b/>
          <w:bCs/>
          <w:color w:val="000000"/>
        </w:rPr>
        <w:t>")  dated</w:t>
      </w:r>
      <w:proofErr w:type="gramEnd"/>
      <w:r>
        <w:rPr>
          <w:rFonts w:ascii="Times" w:eastAsia="Times" w:hAnsi="Times" w:cs="Times"/>
          <w:b/>
          <w:bCs/>
          <w:color w:val="000000"/>
        </w:rPr>
        <w:t xml:space="preserve"> </w:t>
      </w:r>
      <w:r w:rsidRPr="005D7A6F">
        <w:rPr>
          <w:rFonts w:ascii="Times" w:eastAsia="Times" w:hAnsi="Times" w:cs="Times"/>
          <w:b/>
          <w:bCs/>
          <w:noProof/>
          <w:color w:val="000000"/>
        </w:rPr>
        <w:t>February 14, 2020</w:t>
      </w:r>
      <w:r>
        <w:rPr>
          <w:rFonts w:ascii="Times" w:eastAsia="Times" w:hAnsi="Times" w:cs="Times"/>
          <w:b/>
          <w:bCs/>
          <w:color w:val="000000"/>
        </w:rPr>
        <w:br/>
      </w:r>
      <w:r>
        <w:rPr>
          <w:rFonts w:ascii="Times" w:eastAsia="Times" w:hAnsi="Times" w:cs="Times"/>
          <w:b/>
          <w:bCs/>
          <w:color w:val="000000"/>
        </w:rPr>
        <w:br/>
        <w:t>BETWEEN:</w:t>
      </w:r>
    </w:p>
    <w:p w14:paraId="2E6BD7E1"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t xml:space="preserve"> of </w:t>
      </w:r>
      <w:r w:rsidRPr="005D7A6F">
        <w:rPr>
          <w:rFonts w:ascii="Times" w:eastAsia="Times" w:hAnsi="Times" w:cs="Times"/>
          <w:noProof/>
          <w:color w:val="000000"/>
        </w:rPr>
        <w:t xml:space="preserve">One Contoso </w:t>
      </w:r>
      <w:proofErr w:type="gramStart"/>
      <w:r w:rsidRPr="005D7A6F">
        <w:rPr>
          <w:rFonts w:ascii="Times" w:eastAsia="Times" w:hAnsi="Times" w:cs="Times"/>
          <w:noProof/>
          <w:color w:val="000000"/>
        </w:rPr>
        <w:t>Way</w:t>
      </w:r>
      <w:r>
        <w:rPr>
          <w:rFonts w:ascii="Times" w:eastAsia="Times" w:hAnsi="Times" w:cs="Times"/>
          <w:color w:val="000000"/>
        </w:rPr>
        <w:t xml:space="preserve">,  </w:t>
      </w:r>
      <w:r w:rsidRPr="005D7A6F">
        <w:rPr>
          <w:rFonts w:ascii="Times" w:eastAsia="Times" w:hAnsi="Times" w:cs="Times"/>
          <w:noProof/>
          <w:color w:val="000000"/>
        </w:rPr>
        <w:t>WA</w:t>
      </w:r>
      <w:proofErr w:type="gramEnd"/>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 xml:space="preserve">The Client is of the opinion that the Contractor has the necessary qualifications, </w:t>
      </w:r>
      <w:proofErr w:type="gramStart"/>
      <w:r>
        <w:rPr>
          <w:rFonts w:ascii="Times" w:eastAsia="Times" w:hAnsi="Times" w:cs="Times"/>
          <w:color w:val="000000"/>
        </w:rPr>
        <w:t>experience</w:t>
      </w:r>
      <w:proofErr w:type="gramEnd"/>
      <w:r>
        <w:rPr>
          <w:rFonts w:ascii="Times" w:eastAsia="Times" w:hAnsi="Times" w:cs="Times"/>
          <w:color w:val="000000"/>
        </w:rPr>
        <w:t xml:space="preserv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Client will provide </w:t>
      </w:r>
      <w:proofErr w:type="gramStart"/>
      <w:r>
        <w:rPr>
          <w:rFonts w:ascii="Times" w:eastAsia="Times" w:hAnsi="Times" w:cs="Times"/>
          <w:color w:val="000000"/>
        </w:rPr>
        <w:t>work space</w:t>
      </w:r>
      <w:proofErr w:type="gramEnd"/>
      <w:r>
        <w:rPr>
          <w:rFonts w:ascii="Times" w:eastAsia="Times" w:hAnsi="Times" w:cs="Times"/>
          <w:color w:val="000000"/>
        </w:rPr>
        <w:t xml:space="preserv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Confidential information (the "Confidential Information") refers to any data or information relating to the business of the Client which would reasonably </w:t>
      </w:r>
      <w:proofErr w:type="gramStart"/>
      <w:r>
        <w:rPr>
          <w:rFonts w:ascii="Times" w:eastAsia="Times" w:hAnsi="Times" w:cs="Times"/>
          <w:color w:val="000000"/>
        </w:rPr>
        <w:t>be considered to be</w:t>
      </w:r>
      <w:proofErr w:type="gramEnd"/>
      <w:r>
        <w:rPr>
          <w:rFonts w:ascii="Times" w:eastAsia="Times" w:hAnsi="Times" w:cs="Times"/>
          <w:color w:val="000000"/>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The Contractor agrees that it will not disclose, divulge, reveal, </w:t>
      </w:r>
      <w:proofErr w:type="gramStart"/>
      <w:r>
        <w:rPr>
          <w:rFonts w:ascii="Times" w:eastAsia="Times" w:hAnsi="Times" w:cs="Times"/>
          <w:color w:val="000000"/>
        </w:rPr>
        <w:t>report</w:t>
      </w:r>
      <w:proofErr w:type="gramEnd"/>
      <w:r>
        <w:rPr>
          <w:rFonts w:ascii="Times" w:eastAsia="Times" w:hAnsi="Times" w:cs="Times"/>
          <w:color w:val="000000"/>
        </w:rPr>
        <w:t xml:space="preserve">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w:t>
      </w:r>
      <w:proofErr w:type="gramStart"/>
      <w:r>
        <w:rPr>
          <w:rFonts w:ascii="Times" w:eastAsia="Times" w:hAnsi="Times" w:cs="Times"/>
          <w:color w:val="000000"/>
        </w:rPr>
        <w:t>particular business</w:t>
      </w:r>
      <w:proofErr w:type="gramEnd"/>
      <w:r>
        <w:rPr>
          <w:rFonts w:ascii="Times" w:eastAsia="Times" w:hAnsi="Times" w:cs="Times"/>
          <w:color w:val="000000"/>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Contractor may not use the Intellectual Property for any purpose other than that contracted for in this Agreement except with the written consent of the Client. The Contractor will be responsible for </w:t>
      </w:r>
      <w:proofErr w:type="gramStart"/>
      <w:r>
        <w:rPr>
          <w:rFonts w:ascii="Times" w:eastAsia="Times" w:hAnsi="Times" w:cs="Times"/>
          <w:color w:val="000000"/>
        </w:rPr>
        <w:t>any and all</w:t>
      </w:r>
      <w:proofErr w:type="gramEnd"/>
      <w:r>
        <w:rPr>
          <w:rFonts w:ascii="Times" w:eastAsia="Times" w:hAnsi="Times" w:cs="Times"/>
          <w:color w:val="000000"/>
        </w:rPr>
        <w:t xml:space="preserve">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Pr>
          <w:rFonts w:ascii="Times" w:eastAsia="Times" w:hAnsi="Times" w:cs="Times"/>
          <w:color w:val="000000"/>
        </w:rPr>
        <w:t>them, and</w:t>
      </w:r>
      <w:proofErr w:type="gramEnd"/>
      <w:r>
        <w:rPr>
          <w:rFonts w:ascii="Times" w:eastAsia="Times" w:hAnsi="Times" w:cs="Times"/>
          <w:color w:val="000000"/>
        </w:rPr>
        <w:t xml:space="preserve">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It is agreed that there is no representation, warranty, collateral </w:t>
      </w:r>
      <w:proofErr w:type="gramStart"/>
      <w:r>
        <w:rPr>
          <w:rFonts w:ascii="Times" w:eastAsia="Times" w:hAnsi="Times" w:cs="Times"/>
          <w:color w:val="000000"/>
        </w:rPr>
        <w:t>agreement</w:t>
      </w:r>
      <w:proofErr w:type="gramEnd"/>
      <w:r>
        <w:rPr>
          <w:rFonts w:ascii="Times" w:eastAsia="Times" w:hAnsi="Times" w:cs="Times"/>
          <w:color w:val="000000"/>
        </w:rPr>
        <w:t xml:space="preserve">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w:t>
      </w:r>
      <w:proofErr w:type="gramStart"/>
      <w:r>
        <w:rPr>
          <w:rFonts w:ascii="Times" w:eastAsia="Times" w:hAnsi="Times" w:cs="Times"/>
          <w:color w:val="000000"/>
        </w:rPr>
        <w:t>successors</w:t>
      </w:r>
      <w:proofErr w:type="gramEnd"/>
      <w:r>
        <w:rPr>
          <w:rFonts w:ascii="Times" w:eastAsia="Times" w:hAnsi="Times" w:cs="Times"/>
          <w:color w:val="000000"/>
        </w:rPr>
        <w:t xml:space="preserve">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waiver by either Party of a breach, default, </w:t>
      </w:r>
      <w:proofErr w:type="gramStart"/>
      <w:r>
        <w:rPr>
          <w:rFonts w:ascii="Times" w:eastAsia="Times" w:hAnsi="Times" w:cs="Times"/>
          <w:color w:val="000000"/>
        </w:rPr>
        <w:t>delay</w:t>
      </w:r>
      <w:proofErr w:type="gramEnd"/>
      <w:r>
        <w:rPr>
          <w:rFonts w:ascii="Times" w:eastAsia="Times" w:hAnsi="Times" w:cs="Times"/>
          <w:color w:val="000000"/>
        </w:rPr>
        <w:t xml:space="preserve">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r>
            <w:proofErr w:type="gramStart"/>
            <w:r w:rsidRPr="00C448D1">
              <w:rPr>
                <w:rFonts w:ascii="Times" w:eastAsia="Times" w:hAnsi="Times" w:cs="Times"/>
                <w:color w:val="000000"/>
              </w:rPr>
              <w:t>Per:_</w:t>
            </w:r>
            <w:proofErr w:type="gramEnd"/>
            <w:r w:rsidRPr="00C448D1">
              <w:rPr>
                <w:rFonts w:ascii="Times" w:eastAsia="Times" w:hAnsi="Times" w:cs="Times"/>
                <w:color w:val="000000"/>
              </w:rPr>
              <w:t xml:space="preserve">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BB17" w14:textId="77777777" w:rsidR="00C934CE" w:rsidRDefault="00C934CE">
      <w:r>
        <w:separator/>
      </w:r>
    </w:p>
  </w:endnote>
  <w:endnote w:type="continuationSeparator" w:id="0">
    <w:p w14:paraId="4DA3F4BF" w14:textId="77777777" w:rsidR="00C934CE" w:rsidRDefault="00C9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29EE1" w14:textId="77777777" w:rsidR="00C934CE" w:rsidRDefault="00C934CE">
      <w:r>
        <w:separator/>
      </w:r>
    </w:p>
  </w:footnote>
  <w:footnote w:type="continuationSeparator" w:id="0">
    <w:p w14:paraId="03684C9D" w14:textId="77777777" w:rsidR="00C934CE" w:rsidRDefault="00C9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A77B3E"/>
    <w:rsid w:val="00BA331B"/>
    <w:rsid w:val="00C11686"/>
    <w:rsid w:val="00C448D1"/>
    <w:rsid w:val="00C934CE"/>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ModelId xmlns="http://schemas.microsoft.com/sharepoint/v3/machinelearning/modelid">
  <ModelDriveId>b!CFPGxeK660CvjVVwNY5m9KQgx6V10vxCk10rs0TqYrzpMWIGWSnIQ4h2YQVzxu2Z</ModelDriveId>
  <ModelObjectId>01TD7QQUVQRF2GOFNZBNHYYSTLI3SIBJ5N</ModelObjectId>
</ModelId>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ef809a0-ee5c-4f7c-93f4-54335103f45d">
      <Terms xmlns="http://schemas.microsoft.com/office/infopath/2007/PartnerControls"/>
    </lcf76f155ced4ddcb4097134ff3c332f>
    <TaxCatchAll xmlns="7d8eff29-6c54-442a-b227-cf62f770eb0b" xsi:nil="true"/>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7B372-C451-4416-9933-92F4BB87865B}">
  <ds:schemaRefs>
    <ds:schemaRef ds:uri="http://schemas.microsoft.com/sharepoint/v3/machinelearning/modelid"/>
  </ds:schemaRefs>
</ds:datastoreItem>
</file>

<file path=customXml/itemProps2.xml><?xml version="1.0" encoding="utf-8"?>
<ds:datastoreItem xmlns:ds="http://schemas.openxmlformats.org/officeDocument/2006/customXml" ds:itemID="{F100D86E-35B3-424D-B3E4-55AE47B6875A}">
  <ds:schemaRefs>
    <ds:schemaRef ds:uri="http://schemas.microsoft.com/office/2006/documentManagement/types"/>
    <ds:schemaRef ds:uri="http://www.w3.org/XML/1998/namespace"/>
    <ds:schemaRef ds:uri="http://schemas.openxmlformats.org/package/2006/metadata/core-properties"/>
    <ds:schemaRef ds:uri="230e9df3-be65-4c73-a93b-d1236ebd677e"/>
    <ds:schemaRef ds:uri="f1d8a28f-a464-4713-b4c0-43b1d3144504"/>
    <ds:schemaRef ds:uri="http://purl.org/dc/elements/1.1/"/>
    <ds:schemaRef ds:uri="http://purl.org/dc/dcmitype/"/>
    <ds:schemaRef ds:uri="a5c720a4-d275-42fc-935d-2bb344ea62bc"/>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16F2172-2E1C-406A-9D12-16EA453C4370}"/>
</file>

<file path=customXml/itemProps4.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Chuck Edmonson</cp:lastModifiedBy>
  <cp:revision>2</cp:revision>
  <cp:lastPrinted>1900-01-01T08:00:00Z</cp:lastPrinted>
  <dcterms:created xsi:type="dcterms:W3CDTF">2021-04-09T17:25:00Z</dcterms:created>
  <dcterms:modified xsi:type="dcterms:W3CDTF">2021-04-09T17:25:00Z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2020-09-08T03:04:47Z</vt:filetime>
  </property>
  <property fmtid="{D5CDD505-2E9C-101B-9397-08002B2CF9AE}" pid="17" name="_ModelId">
    <vt:lpwstr>677489b0-b915-4f0b-8c4a-6b46e480a7ad</vt:lpwstr>
  </property>
  <property fmtid="{D5CDD505-2E9C-101B-9397-08002B2CF9AE}" pid="18" name="PrimeModelURL">
    <vt:lpwstr>, </vt:lpwstr>
  </property>
  <property fmtid="{D5CDD505-2E9C-101B-9397-08002B2CF9AE}" pid="19" name="MediaServiceAITags">
    <vt:lpwstr/>
  </property>
</Properties>
</file>