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Zava Retail — Q3 2026 Forecast vs. Actuals</w:t>
      </w:r>
    </w:p>
    <w:p>
      <w:pPr>
        <w:spacing w:after="160"/>
      </w:pPr>
      <w:r>
        <w:rPr>
          <w:i/>
          <w:iCs/>
        </w:rPr>
        <w:t xml:space="preserve">Reference table for Exercise 3, Part B (Structured Output). Paste this table into Copilot Chat and ask it to find the three biggest variances.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DCE6F1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pct" w:w="25%"/>
            <w:shd w:fill="DCE6F1" w:val="clear"/>
          </w:tcPr>
          <w:p>
            <w:r>
              <w:rPr>
                <w:b/>
                <w:bCs/>
              </w:rPr>
              <w:t xml:space="preserve">Forecast Revenue</w:t>
            </w:r>
          </w:p>
        </w:tc>
        <w:tc>
          <w:tcPr>
            <w:tcW w:type="pct" w:w="25%"/>
            <w:shd w:fill="DCE6F1" w:val="clear"/>
          </w:tcPr>
          <w:p>
            <w:r>
              <w:rPr>
                <w:b/>
                <w:bCs/>
              </w:rPr>
              <w:t xml:space="preserve">Actual Revenue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Apparel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$412,000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$398,500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Footwear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$276,000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$251,900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Accessories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$118,000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$149,700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Home Goods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$95,000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$61,200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Electronics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$203,000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$204,100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Outdoor &amp; Sport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$164,000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$171,300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Beauty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$88,000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$92,400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i/>
          <w:iCs/>
        </w:rPr>
        <w:t xml:space="preserve">Figures are Zava Retail's Q3 2026 revenue by product category, forecast at the start of the quarter vs. actuals reported at quarter close.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2026-08-25T10:09:48.899Z</dcterms:created>
  <dcterms:modified xsi:type="dcterms:W3CDTF">2026-08-25T10:09:48.899Z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