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Calibri" w:cs="Calibri" w:eastAsia="Calibri" w:hAnsi="Calibri"/>
          <w:b/>
          <w:bCs/>
          <w:color w:val="1F3864"/>
          <w:sz w:val="32"/>
          <w:szCs w:val="32"/>
        </w:rPr>
        <w:t xml:space="preserve">Discovery Notes — Zava Retail Data Migration Project</w:t>
      </w:r>
    </w:p>
    <w:p>
      <w:pPr>
        <w:spacing w:after="140" w:line="276"/>
      </w:pPr>
      <w:r>
        <w:rPr>
          <w:rFonts w:ascii="Calibri" w:cs="Calibri" w:eastAsia="Calibri" w:hAnsi="Calibri"/>
          <w:sz w:val="22"/>
          <w:szCs w:val="22"/>
        </w:rPr>
        <w:t xml:space="preserve">Prepared by: Priya Shah, Project Lead   |   Date: March 2026   |   Status: Draft, internal use only</w:t>
      </w:r>
    </w:p>
    <w:p>
      <w:pPr>
        <w:pStyle w:val="Heading2"/>
        <w:spacing w:after="120" w:before="240"/>
      </w:pPr>
      <w:r>
        <w:rPr>
          <w:rFonts w:ascii="Calibri" w:cs="Calibri" w:eastAsia="Calibri" w:hAnsi="Calibri"/>
          <w:b/>
          <w:bCs/>
          <w:color w:val="2E74B5"/>
          <w:sz w:val="24"/>
          <w:szCs w:val="24"/>
        </w:rPr>
        <w:t xml:space="preserve">Background</w:t>
      </w:r>
    </w:p>
    <w:p>
      <w:pPr>
        <w:spacing w:after="140" w:line="276"/>
      </w:pPr>
      <w:r>
        <w:rPr>
          <w:rFonts w:ascii="Calibri" w:cs="Calibri" w:eastAsia="Calibri" w:hAnsi="Calibri"/>
          <w:sz w:val="22"/>
          <w:szCs w:val="22"/>
        </w:rPr>
        <w:t xml:space="preserve">Zava Retail currently runs its core sales, inventory, and customer records on an on-premise SQL Server environment hosted at the Reading data centre. The platform is nine years old, licensing renewal costs have risen sharply, and the vendor has confirmed mainstream support ends in 18 months. Leadership has approved a project to migrate all core data to a cloud data warehouse over the next two quarters.</w:t>
      </w:r>
    </w:p>
    <w:p>
      <w:pPr>
        <w:pStyle w:val="Heading2"/>
        <w:spacing w:after="120" w:before="240"/>
      </w:pPr>
      <w:r>
        <w:rPr>
          <w:rFonts w:ascii="Calibri" w:cs="Calibri" w:eastAsia="Calibri" w:hAnsi="Calibri"/>
          <w:b/>
          <w:bCs/>
          <w:color w:val="2E74B5"/>
          <w:sz w:val="24"/>
          <w:szCs w:val="24"/>
        </w:rPr>
        <w:t xml:space="preserve">Objective</w:t>
      </w:r>
    </w:p>
    <w:p>
      <w:pPr>
        <w:spacing w:after="140" w:line="276"/>
      </w:pPr>
      <w:r>
        <w:rPr>
          <w:rFonts w:ascii="Calibri" w:cs="Calibri" w:eastAsia="Calibri" w:hAnsi="Calibri"/>
          <w:sz w:val="22"/>
          <w:szCs w:val="22"/>
        </w:rPr>
        <w:t xml:space="preserve">Migrate all production records from the legacy on-premise SQL database to the new cloud data warehouse with zero data loss, minimal downtime, and a clean audit trail, while keeping the store network fully operational throughout.</w:t>
      </w:r>
    </w:p>
    <w:p>
      <w:pPr>
        <w:pStyle w:val="Heading2"/>
        <w:spacing w:after="120" w:before="240"/>
      </w:pPr>
      <w:r>
        <w:rPr>
          <w:rFonts w:ascii="Calibri" w:cs="Calibri" w:eastAsia="Calibri" w:hAnsi="Calibri"/>
          <w:b/>
          <w:bCs/>
          <w:color w:val="2E74B5"/>
          <w:sz w:val="24"/>
          <w:szCs w:val="24"/>
        </w:rPr>
        <w:t xml:space="preserve">Scope</w:t>
      </w:r>
    </w:p>
    <w:p>
      <w:pPr>
        <w:pStyle w:val="ListParagraph"/>
        <w:numPr>
          <w:ilvl w:val="0"/>
          <w:numId w:val="2"/>
        </w:numPr>
        <w:spacing w:after="90"/>
      </w:pPr>
      <w:r>
        <w:rPr>
          <w:rFonts w:ascii="Calibri" w:cs="Calibri" w:eastAsia="Calibri" w:hAnsi="Calibri"/>
          <w:sz w:val="22"/>
          <w:szCs w:val="22"/>
        </w:rPr>
        <w:t xml:space="preserve">Sales transactions (5 years of history, ~40 million rows)</w:t>
      </w:r>
    </w:p>
    <w:p>
      <w:pPr>
        <w:pStyle w:val="ListParagraph"/>
        <w:numPr>
          <w:ilvl w:val="0"/>
          <w:numId w:val="2"/>
        </w:numPr>
        <w:spacing w:after="90"/>
      </w:pPr>
      <w:r>
        <w:rPr>
          <w:rFonts w:ascii="Calibri" w:cs="Calibri" w:eastAsia="Calibri" w:hAnsi="Calibri"/>
          <w:sz w:val="22"/>
          <w:szCs w:val="22"/>
        </w:rPr>
        <w:t xml:space="preserve">Inventory and stock-level records across 62 stores and 3 distribution centres</w:t>
      </w:r>
    </w:p>
    <w:p>
      <w:pPr>
        <w:pStyle w:val="ListParagraph"/>
        <w:numPr>
          <w:ilvl w:val="0"/>
          <w:numId w:val="2"/>
        </w:numPr>
        <w:spacing w:after="90"/>
      </w:pPr>
      <w:r>
        <w:rPr>
          <w:rFonts w:ascii="Calibri" w:cs="Calibri" w:eastAsia="Calibri" w:hAnsi="Calibri"/>
          <w:sz w:val="22"/>
          <w:szCs w:val="22"/>
        </w:rPr>
        <w:t xml:space="preserve">Customer loyalty records, including consent and marketing-preference fields</w:t>
      </w:r>
    </w:p>
    <w:p>
      <w:pPr>
        <w:pStyle w:val="ListParagraph"/>
        <w:numPr>
          <w:ilvl w:val="0"/>
          <w:numId w:val="2"/>
        </w:numPr>
        <w:spacing w:after="90"/>
      </w:pPr>
      <w:r>
        <w:rPr>
          <w:rFonts w:ascii="Calibri" w:cs="Calibri" w:eastAsia="Calibri" w:hAnsi="Calibri"/>
          <w:sz w:val="22"/>
          <w:szCs w:val="22"/>
        </w:rPr>
        <w:t xml:space="preserve">Supplier and purchase-order history (2 years)</w:t>
      </w:r>
    </w:p>
    <w:p>
      <w:pPr>
        <w:pStyle w:val="ListParagraph"/>
        <w:numPr>
          <w:ilvl w:val="0"/>
          <w:numId w:val="2"/>
        </w:numPr>
        <w:spacing w:after="90"/>
      </w:pPr>
      <w:r>
        <w:rPr>
          <w:rFonts w:ascii="Calibri" w:cs="Calibri" w:eastAsia="Calibri" w:hAnsi="Calibri"/>
          <w:sz w:val="22"/>
          <w:szCs w:val="22"/>
        </w:rPr>
        <w:t xml:space="preserve">Out of scope: HR, payroll, and finance systems — these migrate in a separate, later project</w:t>
      </w:r>
    </w:p>
    <w:p>
      <w:pPr>
        <w:pStyle w:val="Heading2"/>
        <w:spacing w:after="120" w:before="240"/>
      </w:pPr>
      <w:r>
        <w:rPr>
          <w:rFonts w:ascii="Calibri" w:cs="Calibri" w:eastAsia="Calibri" w:hAnsi="Calibri"/>
          <w:b/>
          <w:bCs/>
          <w:color w:val="2E74B5"/>
          <w:sz w:val="24"/>
          <w:szCs w:val="24"/>
        </w:rPr>
        <w:t xml:space="preserve">Approach</w:t>
      </w:r>
    </w:p>
    <w:p>
      <w:pPr>
        <w:spacing w:after="140" w:line="276"/>
      </w:pPr>
      <w:r>
        <w:rPr>
          <w:rFonts w:ascii="Calibri" w:cs="Calibri" w:eastAsia="Calibri" w:hAnsi="Calibri"/>
          <w:sz w:val="22"/>
          <w:szCs w:val="22"/>
        </w:rPr>
        <w:t xml:space="preserve">The migration will run in four phases: (1) schema mapping and environment setup, (2) a pilot migration of two stores' data with full validation, (3) phased migration of remaining stores in batches of ten, and (4) legacy system decommission after a 30-day parallel-run period. Each phase includes validation checks comparing record counts and checksums between source and target, with a documented rollback plan if data-integrity thresholds are not met.</w:t>
      </w:r>
    </w:p>
    <w:p>
      <w:pPr>
        <w:pStyle w:val="Heading2"/>
        <w:spacing w:after="120" w:before="240"/>
      </w:pPr>
      <w:r>
        <w:rPr>
          <w:rFonts w:ascii="Calibri" w:cs="Calibri" w:eastAsia="Calibri" w:hAnsi="Calibri"/>
          <w:b/>
          <w:bCs/>
          <w:color w:val="2E74B5"/>
          <w:sz w:val="24"/>
          <w:szCs w:val="24"/>
        </w:rPr>
        <w:t xml:space="preserve">Timeline</w:t>
      </w:r>
    </w:p>
    <w:p>
      <w:pPr>
        <w:pStyle w:val="ListParagraph"/>
        <w:numPr>
          <w:ilvl w:val="0"/>
          <w:numId w:val="2"/>
        </w:numPr>
        <w:spacing w:after="90"/>
      </w:pPr>
      <w:r>
        <w:rPr>
          <w:rFonts w:ascii="Calibri" w:cs="Calibri" w:eastAsia="Calibri" w:hAnsi="Calibri"/>
          <w:sz w:val="22"/>
          <w:szCs w:val="22"/>
        </w:rPr>
        <w:t xml:space="preserve">Phase 1 — Schema mapping and environment setup: Weeks 1–3</w:t>
      </w:r>
    </w:p>
    <w:p>
      <w:pPr>
        <w:pStyle w:val="ListParagraph"/>
        <w:numPr>
          <w:ilvl w:val="0"/>
          <w:numId w:val="2"/>
        </w:numPr>
        <w:spacing w:after="90"/>
      </w:pPr>
      <w:r>
        <w:rPr>
          <w:rFonts w:ascii="Calibri" w:cs="Calibri" w:eastAsia="Calibri" w:hAnsi="Calibri"/>
          <w:sz w:val="22"/>
          <w:szCs w:val="22"/>
        </w:rPr>
        <w:t xml:space="preserve">Phase 2 — Pilot migration (2 stores): Weeks 4–6</w:t>
      </w:r>
    </w:p>
    <w:p>
      <w:pPr>
        <w:pStyle w:val="ListParagraph"/>
        <w:numPr>
          <w:ilvl w:val="0"/>
          <w:numId w:val="2"/>
        </w:numPr>
        <w:spacing w:after="90"/>
      </w:pPr>
      <w:r>
        <w:rPr>
          <w:rFonts w:ascii="Calibri" w:cs="Calibri" w:eastAsia="Calibri" w:hAnsi="Calibri"/>
          <w:sz w:val="22"/>
          <w:szCs w:val="22"/>
        </w:rPr>
        <w:t xml:space="preserve">Phase 3 — Phased rollout (remaining 60 stores): Weeks 7–16</w:t>
      </w:r>
    </w:p>
    <w:p>
      <w:pPr>
        <w:pStyle w:val="ListParagraph"/>
        <w:numPr>
          <w:ilvl w:val="0"/>
          <w:numId w:val="2"/>
        </w:numPr>
        <w:spacing w:after="90"/>
      </w:pPr>
      <w:r>
        <w:rPr>
          <w:rFonts w:ascii="Calibri" w:cs="Calibri" w:eastAsia="Calibri" w:hAnsi="Calibri"/>
          <w:sz w:val="22"/>
          <w:szCs w:val="22"/>
        </w:rPr>
        <w:t xml:space="preserve">Phase 4 — Parallel run and decommission: Weeks 17–21</w:t>
      </w:r>
    </w:p>
    <w:p>
      <w:pPr>
        <w:pStyle w:val="Heading2"/>
        <w:spacing w:after="120" w:before="240"/>
      </w:pPr>
      <w:r>
        <w:rPr>
          <w:rFonts w:ascii="Calibri" w:cs="Calibri" w:eastAsia="Calibri" w:hAnsi="Calibri"/>
          <w:b/>
          <w:bCs/>
          <w:color w:val="2E74B5"/>
          <w:sz w:val="24"/>
          <w:szCs w:val="24"/>
        </w:rPr>
        <w:t xml:space="preserve">Known Risks</w:t>
      </w:r>
    </w:p>
    <w:p>
      <w:pPr>
        <w:pStyle w:val="ListParagraph"/>
        <w:numPr>
          <w:ilvl w:val="0"/>
          <w:numId w:val="2"/>
        </w:numPr>
        <w:spacing w:after="90"/>
      </w:pPr>
      <w:r>
        <w:rPr>
          <w:rFonts w:ascii="Calibri" w:cs="Calibri" w:eastAsia="Calibri" w:hAnsi="Calibri"/>
          <w:sz w:val="22"/>
          <w:szCs w:val="22"/>
        </w:rPr>
        <w:t xml:space="preserve">Legacy schema has undocumented custom fields added by three different vendors over the years</w:t>
      </w:r>
    </w:p>
    <w:p>
      <w:pPr>
        <w:pStyle w:val="ListParagraph"/>
        <w:numPr>
          <w:ilvl w:val="0"/>
          <w:numId w:val="2"/>
        </w:numPr>
        <w:spacing w:after="90"/>
      </w:pPr>
      <w:r>
        <w:rPr>
          <w:rFonts w:ascii="Calibri" w:cs="Calibri" w:eastAsia="Calibri" w:hAnsi="Calibri"/>
          <w:sz w:val="22"/>
          <w:szCs w:val="22"/>
        </w:rPr>
        <w:t xml:space="preserve">Store network bandwidth in rural locations may slow batch transfers during business hours</w:t>
      </w:r>
    </w:p>
    <w:p>
      <w:pPr>
        <w:pStyle w:val="ListParagraph"/>
        <w:numPr>
          <w:ilvl w:val="0"/>
          <w:numId w:val="2"/>
        </w:numPr>
        <w:spacing w:after="90"/>
      </w:pPr>
      <w:r>
        <w:rPr>
          <w:rFonts w:ascii="Calibri" w:cs="Calibri" w:eastAsia="Calibri" w:hAnsi="Calibri"/>
          <w:sz w:val="22"/>
          <w:szCs w:val="22"/>
        </w:rPr>
        <w:t xml:space="preserve">Loyalty data includes consent records that must be preserved exactly for regulatory compliance</w:t>
      </w:r>
    </w:p>
    <w:p>
      <w:pPr>
        <w:pStyle w:val="ListParagraph"/>
        <w:numPr>
          <w:ilvl w:val="0"/>
          <w:numId w:val="2"/>
        </w:numPr>
        <w:spacing w:after="90"/>
      </w:pPr>
      <w:r>
        <w:rPr>
          <w:rFonts w:ascii="Calibri" w:cs="Calibri" w:eastAsia="Calibri" w:hAnsi="Calibri"/>
          <w:sz w:val="22"/>
          <w:szCs w:val="22"/>
        </w:rPr>
        <w:t xml:space="preserve">Two of the pilot stores are on an older point-of-sale version that has not been tested against the new schema</w:t>
      </w:r>
    </w:p>
    <w:p>
      <w:pPr>
        <w:pStyle w:val="Heading2"/>
        <w:spacing w:after="120" w:before="240"/>
      </w:pPr>
      <w:r>
        <w:rPr>
          <w:rFonts w:ascii="Calibri" w:cs="Calibri" w:eastAsia="Calibri" w:hAnsi="Calibri"/>
          <w:b/>
          <w:bCs/>
          <w:color w:val="2E74B5"/>
          <w:sz w:val="24"/>
          <w:szCs w:val="24"/>
        </w:rPr>
        <w:t xml:space="preserve">Stakeholders</w:t>
      </w:r>
    </w:p>
    <w:p>
      <w:pPr>
        <w:pStyle w:val="ListParagraph"/>
        <w:numPr>
          <w:ilvl w:val="0"/>
          <w:numId w:val="2"/>
        </w:numPr>
        <w:spacing w:after="90"/>
      </w:pPr>
      <w:r>
        <w:rPr>
          <w:rFonts w:ascii="Calibri" w:cs="Calibri" w:eastAsia="Calibri" w:hAnsi="Calibri"/>
          <w:sz w:val="22"/>
          <w:szCs w:val="22"/>
        </w:rPr>
        <w:t xml:space="preserve">Priya Shah — Project Lead</w:t>
      </w:r>
    </w:p>
    <w:p>
      <w:pPr>
        <w:pStyle w:val="ListParagraph"/>
        <w:numPr>
          <w:ilvl w:val="0"/>
          <w:numId w:val="2"/>
        </w:numPr>
        <w:spacing w:after="90"/>
      </w:pPr>
      <w:r>
        <w:rPr>
          <w:rFonts w:ascii="Calibri" w:cs="Calibri" w:eastAsia="Calibri" w:hAnsi="Calibri"/>
          <w:sz w:val="22"/>
          <w:szCs w:val="22"/>
        </w:rPr>
        <w:t xml:space="preserve">Marcus Webb — IT Director, executive sponsor</w:t>
      </w:r>
    </w:p>
    <w:p>
      <w:pPr>
        <w:pStyle w:val="ListParagraph"/>
        <w:numPr>
          <w:ilvl w:val="0"/>
          <w:numId w:val="2"/>
        </w:numPr>
        <w:spacing w:after="90"/>
      </w:pPr>
      <w:r>
        <w:rPr>
          <w:rFonts w:ascii="Calibri" w:cs="Calibri" w:eastAsia="Calibri" w:hAnsi="Calibri"/>
          <w:sz w:val="22"/>
          <w:szCs w:val="22"/>
        </w:rPr>
        <w:t xml:space="preserve">Aisha Khan — Data Architect</w:t>
      </w:r>
    </w:p>
    <w:p>
      <w:pPr>
        <w:pStyle w:val="ListParagraph"/>
        <w:numPr>
          <w:ilvl w:val="0"/>
          <w:numId w:val="2"/>
        </w:numPr>
        <w:spacing w:after="90"/>
      </w:pPr>
      <w:r>
        <w:rPr>
          <w:rFonts w:ascii="Calibri" w:cs="Calibri" w:eastAsia="Calibri" w:hAnsi="Calibri"/>
          <w:sz w:val="22"/>
          <w:szCs w:val="22"/>
        </w:rPr>
        <w:t xml:space="preserve">Tom Reyes — Store Operations Lead</w:t>
      </w:r>
    </w:p>
    <w:p>
      <w:pPr>
        <w:pStyle w:val="ListParagraph"/>
        <w:numPr>
          <w:ilvl w:val="0"/>
          <w:numId w:val="2"/>
        </w:numPr>
        <w:spacing w:after="90"/>
      </w:pPr>
      <w:r>
        <w:rPr>
          <w:rFonts w:ascii="Calibri" w:cs="Calibri" w:eastAsia="Calibri" w:hAnsi="Calibri"/>
          <w:sz w:val="22"/>
          <w:szCs w:val="22"/>
        </w:rPr>
        <w:t xml:space="preserve">Steering Committee — meets bi-weekly, first review scheduled for end of Phase 1</w:t>
      </w:r>
    </w:p>
    <w:p>
      <w:pPr>
        <w:pStyle w:val="Heading2"/>
        <w:spacing w:after="120" w:before="240"/>
      </w:pPr>
      <w:r>
        <w:rPr>
          <w:rFonts w:ascii="Calibri" w:cs="Calibri" w:eastAsia="Calibri" w:hAnsi="Calibri"/>
          <w:b/>
          <w:bCs/>
          <w:color w:val="2E74B5"/>
          <w:sz w:val="24"/>
          <w:szCs w:val="24"/>
        </w:rPr>
        <w:t xml:space="preserve">Open Questions</w:t>
      </w:r>
    </w:p>
    <w:p>
      <w:pPr>
        <w:pStyle w:val="ListParagraph"/>
        <w:numPr>
          <w:ilvl w:val="0"/>
          <w:numId w:val="2"/>
        </w:numPr>
        <w:spacing w:after="90"/>
      </w:pPr>
      <w:r>
        <w:rPr>
          <w:rFonts w:ascii="Calibri" w:cs="Calibri" w:eastAsia="Calibri" w:hAnsi="Calibri"/>
          <w:sz w:val="22"/>
          <w:szCs w:val="22"/>
        </w:rPr>
        <w:t xml:space="preserve">Final confirmation on cloud region for data residency (pending legal review)</w:t>
      </w:r>
    </w:p>
    <w:p>
      <w:pPr>
        <w:pStyle w:val="ListParagraph"/>
        <w:numPr>
          <w:ilvl w:val="0"/>
          <w:numId w:val="2"/>
        </w:numPr>
        <w:spacing w:after="90"/>
      </w:pPr>
      <w:r>
        <w:rPr>
          <w:rFonts w:ascii="Calibri" w:cs="Calibri" w:eastAsia="Calibri" w:hAnsi="Calibri"/>
          <w:sz w:val="22"/>
          <w:szCs w:val="22"/>
        </w:rPr>
        <w:t xml:space="preserve">Whether the pilot stores' point-of-sale software needs an upgrade before migration</w:t>
      </w:r>
    </w:p>
    <w:p>
      <w:pPr>
        <w:pStyle w:val="ListParagraph"/>
        <w:numPr>
          <w:ilvl w:val="0"/>
          <w:numId w:val="2"/>
        </w:numPr>
        <w:spacing w:after="90"/>
      </w:pPr>
      <w:r>
        <w:rPr>
          <w:rFonts w:ascii="Calibri" w:cs="Calibri" w:eastAsia="Calibri" w:hAnsi="Calibri"/>
          <w:sz w:val="22"/>
          <w:szCs w:val="22"/>
        </w:rPr>
        <w:t xml:space="preserve">Budget sign-off for the parallel-run period's additional cloud costs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2026-09-03T10:29:32.311Z</dcterms:created>
  <dcterms:modified xsi:type="dcterms:W3CDTF">2026-09-03T10:29:32.323Z</dcterms:modified>
</cp:coreProperties>
</file>

<file path=docProps/custom.xml><?xml version="1.0" encoding="utf-8"?>
<Properties xmlns="http://schemas.openxmlformats.org/officeDocument/2006/custom-properties" xmlns:vt="http://schemas.openxmlformats.org/officeDocument/2006/docPropsVTypes"/>
</file>