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Project Zava — Project Brief</w:t>
      </w:r>
    </w:p>
    <w:p>
      <w:pPr>
        <w:spacing w:after="160"/>
      </w:pPr>
      <w:r>
        <w:rPr>
          <w:i/>
          <w:iCs/>
        </w:rPr>
        <w:t xml:space="preserve">Zava Retail e-commerce site relaunch, including a new payments integration.</w:t>
      </w:r>
    </w:p>
    <w:p>
      <w:pPr>
        <w:pStyle w:val="Heading2"/>
      </w:pPr>
      <w:r>
        <w:t xml:space="preserve">Overview</w:t>
      </w:r>
    </w:p>
    <w:p>
      <w:pPr>
        <w:spacing w:after="160"/>
      </w:pPr>
      <w:r>
        <w:t xml:space="preserve">Project Zava is a relaunch of the Zava Retail e-commerce site, including a new checkout and payments flow. The project is sponsored by Alex (Manager) and run day-to-day by Mark Chen (Program Lead).</w:t>
      </w:r>
    </w:p>
    <w:p>
      <w:pPr>
        <w:pStyle w:val="Heading2"/>
      </w:pPr>
      <w:r>
        <w:t xml:space="preserve">Team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Mark Chen — Program Lead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Priya Shah — Engineering Lead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Jordan Lee — Design Lead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Sam Okafor — Security &amp; Compliance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Alex — Sponsoring Manager</w:t>
      </w:r>
    </w:p>
    <w:p>
      <w:pPr>
        <w:pStyle w:val="Heading2"/>
      </w:pPr>
      <w:r>
        <w:t xml:space="preserve">Timeline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Design freeze: August 25, 2026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Integration build: through September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Target launch: September 30, 2026</w:t>
      </w:r>
    </w:p>
    <w:p>
      <w:pPr>
        <w:pStyle w:val="Heading2"/>
      </w:pPr>
      <w:r>
        <w:t xml:space="preserve">Current Status (as of Aug 22, 2026)</w:t>
      </w:r>
    </w:p>
    <w:p>
      <w:pPr>
        <w:spacing w:after="160"/>
      </w:pPr>
      <w:r>
        <w:t xml:space="preserve">Vendorly was selected as the payments integration partner on August 11. Finance approved an additional $40K in contractor budget on August 18. Two open items are being tracked: a brand-asset delivery delay from marketing (owner: Jordan), and a vendor data-retention compliance question that has been escalated to Legal (owner: Sam, ticket LEGAL-4471).</w:t>
      </w:r>
    </w:p>
    <w:p>
      <w:pPr>
        <w:pStyle w:val="Heading2"/>
      </w:pPr>
      <w:r>
        <w:t xml:space="preserve">Risks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Design freeze may slip if marketing does not deliver brand assets in time.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Launch date may shift depending on Legal's review of Vendorly's data retention terms.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2026-08-25T08:51:55.215Z</dcterms:created>
  <dcterms:modified xsi:type="dcterms:W3CDTF">2026-08-25T08:51:55.229Z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