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30"/>
          <w:szCs w:val="30"/>
        </w:rPr>
        <w:t xml:space="preserve">Zava Ltd.</w:t>
      </w:r>
    </w:p>
    <w:p>
      <w:pPr>
        <w:spacing w:after="600"/>
      </w:pPr>
      <w:r>
        <w:rPr>
          <w:b/>
          <w:bCs/>
          <w:color w:val="1F3864"/>
          <w:sz w:val="56"/>
          <w:szCs w:val="56"/>
        </w:rPr>
        <w:t xml:space="preserve">Employee Handbook</w:t>
      </w:r>
    </w:p>
    <w:p>
      <w:pPr>
        <w:spacing w:after="1600"/>
      </w:pPr>
      <w:r>
        <w:rPr>
          <w:i/>
          <w:iCs/>
          <w:color w:val="595959"/>
          <w:sz w:val="26"/>
          <w:szCs w:val="26"/>
        </w:rPr>
        <w:t xml:space="preserve">Your Guide to Working at Zava</w:t>
      </w:r>
    </w:p>
    <w:p>
      <w:pPr>
        <w:spacing w:after="80"/>
      </w:pPr>
      <w:r>
        <w:rPr>
          <w:b/>
          <w:bCs/>
          <w:color w:val="1F3864"/>
          <w:sz w:val="22"/>
          <w:szCs w:val="22"/>
        </w:rPr>
        <w:t xml:space="preserve">Document Owner:  </w:t>
      </w:r>
      <w:r>
        <w:rPr>
          <w:sz w:val="22"/>
          <w:szCs w:val="22"/>
        </w:rPr>
        <w:t xml:space="preserve">People &amp; Culture (HR)</w:t>
      </w:r>
    </w:p>
    <w:p>
      <w:pPr>
        <w:spacing w:after="80"/>
      </w:pPr>
      <w:r>
        <w:rPr>
          <w:b/>
          <w:bCs/>
          <w:color w:val="1F3864"/>
          <w:sz w:val="22"/>
          <w:szCs w:val="22"/>
        </w:rPr>
        <w:t xml:space="preserve">Applies To:  </w:t>
      </w:r>
      <w:r>
        <w:rPr>
          <w:sz w:val="22"/>
          <w:szCs w:val="22"/>
        </w:rPr>
        <w:t xml:space="preserve">All Zava employees, worldwide</w:t>
      </w:r>
    </w:p>
    <w:p>
      <w:pPr>
        <w:spacing w:after="80"/>
      </w:pPr>
      <w:r>
        <w:rPr>
          <w:b/>
          <w:bCs/>
          <w:color w:val="1F3864"/>
          <w:sz w:val="22"/>
          <w:szCs w:val="22"/>
        </w:rPr>
        <w:t xml:space="preserve">Version:  </w:t>
      </w:r>
      <w:r>
        <w:rPr>
          <w:sz w:val="22"/>
          <w:szCs w:val="22"/>
        </w:rPr>
        <w:t xml:space="preserve">6.3</w:t>
      </w:r>
    </w:p>
    <w:p>
      <w:pPr>
        <w:spacing w:after="80"/>
      </w:pPr>
      <w:r>
        <w:rPr>
          <w:b/>
          <w:bCs/>
          <w:color w:val="1F3864"/>
          <w:sz w:val="22"/>
          <w:szCs w:val="22"/>
        </w:rPr>
        <w:t xml:space="preserve">Effective Date:  </w:t>
      </w:r>
      <w:r>
        <w:rPr>
          <w:sz w:val="22"/>
          <w:szCs w:val="22"/>
        </w:rPr>
        <w:t xml:space="preserve">01 April 2026</w:t>
      </w:r>
    </w:p>
    <w:p>
      <w:pPr>
        <w:spacing w:after="80"/>
      </w:pPr>
      <w:r>
        <w:rPr>
          <w:b/>
          <w:bCs/>
          <w:color w:val="1F3864"/>
          <w:sz w:val="22"/>
          <w:szCs w:val="22"/>
        </w:rPr>
        <w:t xml:space="preserve">Review Cycle:  </w:t>
      </w:r>
      <w:r>
        <w:rPr>
          <w:sz w:val="22"/>
          <w:szCs w:val="22"/>
        </w:rPr>
        <w:t xml:space="preserve">Annual</w:t>
      </w:r>
    </w:p>
    <w:p>
      <w:r>
        <w:br w:type="page"/>
      </w:r>
    </w:p>
    <w:p>
      <w:pPr>
        <w:pStyle w:val="Heading1"/>
        <w:pBdr>
          <w:bottom w:val="single" w:color="2E5A9E" w:sz="8" w:space="4"/>
        </w:pBdr>
        <w:spacing w:after="200" w:before="360"/>
      </w:pPr>
      <w:r>
        <w:rPr>
          <w:b/>
          <w:bCs/>
          <w:color w:val="1F3864"/>
          <w:sz w:val="30"/>
          <w:szCs w:val="30"/>
        </w:rPr>
        <w:t xml:space="preserve">1. Welcome to Zava</w:t>
      </w:r>
    </w:p>
    <w:p>
      <w:pPr>
        <w:spacing w:after="160"/>
      </w:pPr>
      <w:r>
        <w:rPr>
          <w:sz w:val="22"/>
          <w:szCs w:val="22"/>
        </w:rPr>
        <w:t xml:space="preserve">Welcome to Zava Ltd. This handbook is your primary reference for how we work together — covering employment basics, leave, benefits, conduct, and the resources available to support you. It applies globally, with region-specific addenda available on the People Hub where local law requires additional detail.</w:t>
      </w:r>
    </w:p>
    <w:p>
      <w:pPr>
        <w:spacing w:after="160"/>
      </w:pPr>
      <w:r>
        <w:rPr>
          <w:sz w:val="22"/>
          <w:szCs w:val="22"/>
        </w:rPr>
        <w:t xml:space="preserve">If anything in this handbook is unclear, or conflicts with your local offer letter or statutory entitlement, reach out to your HR Business Partner — local law and your individual contract always take precedence over this general guidance.</w:t>
      </w:r>
    </w:p>
    <w:p>
      <w:pPr>
        <w:pStyle w:val="Heading1"/>
        <w:pBdr>
          <w:bottom w:val="single" w:color="2E5A9E" w:sz="8" w:space="4"/>
        </w:pBdr>
        <w:spacing w:after="200" w:before="360"/>
      </w:pPr>
      <w:r>
        <w:rPr>
          <w:b/>
          <w:bCs/>
          <w:color w:val="1F3864"/>
          <w:sz w:val="30"/>
          <w:szCs w:val="30"/>
        </w:rPr>
        <w:t xml:space="preserve">2. Employment Basics</w:t>
      </w:r>
    </w:p>
    <w:p>
      <w:pPr>
        <w:pStyle w:val="Heading2"/>
        <w:spacing w:after="140" w:before="260"/>
      </w:pPr>
      <w:r>
        <w:rPr>
          <w:b/>
          <w:bCs/>
          <w:color w:val="2E5A9E"/>
          <w:sz w:val="24"/>
          <w:szCs w:val="24"/>
        </w:rPr>
        <w:t xml:space="preserve">2.1 Employment Types</w:t>
      </w:r>
    </w:p>
    <w:p>
      <w:pPr>
        <w:pStyle w:val="ListParagraph"/>
        <w:numPr>
          <w:ilvl w:val="0"/>
          <w:numId w:val="2"/>
        </w:numPr>
        <w:spacing w:after="80"/>
      </w:pPr>
      <w:r>
        <w:rPr>
          <w:sz w:val="22"/>
          <w:szCs w:val="22"/>
        </w:rPr>
        <w:t xml:space="preserve">Full-time: standard 40 hours/week (or local statutory equivalent), eligible for full benefits.</w:t>
      </w:r>
    </w:p>
    <w:p>
      <w:pPr>
        <w:pStyle w:val="ListParagraph"/>
        <w:numPr>
          <w:ilvl w:val="0"/>
          <w:numId w:val="2"/>
        </w:numPr>
        <w:spacing w:after="80"/>
      </w:pPr>
      <w:r>
        <w:rPr>
          <w:sz w:val="22"/>
          <w:szCs w:val="22"/>
        </w:rPr>
        <w:t xml:space="preserve">Part-time: reduced hours by agreement, benefits pro-rated per local policy.</w:t>
      </w:r>
    </w:p>
    <w:p>
      <w:pPr>
        <w:pStyle w:val="ListParagraph"/>
        <w:numPr>
          <w:ilvl w:val="0"/>
          <w:numId w:val="2"/>
        </w:numPr>
        <w:spacing w:after="80"/>
      </w:pPr>
      <w:r>
        <w:rPr>
          <w:sz w:val="22"/>
          <w:szCs w:val="22"/>
        </w:rPr>
        <w:t xml:space="preserve">Fixed-term contract: defined end date, reviewed at least 30 days before expiry.</w:t>
      </w:r>
    </w:p>
    <w:p>
      <w:pPr>
        <w:pStyle w:val="ListParagraph"/>
        <w:numPr>
          <w:ilvl w:val="0"/>
          <w:numId w:val="2"/>
        </w:numPr>
        <w:spacing w:after="80"/>
      </w:pPr>
      <w:r>
        <w:rPr>
          <w:sz w:val="22"/>
          <w:szCs w:val="22"/>
        </w:rPr>
        <w:t xml:space="preserve">Contractor/Consultant: engaged via the Contractor Policy, not covered by this handbook.</w:t>
      </w:r>
    </w:p>
    <w:p>
      <w:pPr>
        <w:pStyle w:val="Heading2"/>
        <w:spacing w:after="140" w:before="260"/>
      </w:pPr>
      <w:r>
        <w:rPr>
          <w:b/>
          <w:bCs/>
          <w:color w:val="2E5A9E"/>
          <w:sz w:val="24"/>
          <w:szCs w:val="24"/>
        </w:rPr>
        <w:t xml:space="preserve">2.2 Probation Period</w:t>
      </w:r>
    </w:p>
    <w:p>
      <w:pPr>
        <w:spacing w:after="160"/>
      </w:pPr>
      <w:r>
        <w:rPr>
          <w:sz w:val="22"/>
          <w:szCs w:val="22"/>
        </w:rPr>
        <w:t xml:space="preserve">New full-time and part-time employees serve a probation period of 90 days (or the local statutory minimum, if longer), during which either party may end employment with reduced notice as specified in the offer letter.</w:t>
      </w:r>
    </w:p>
    <w:p>
      <w:pPr>
        <w:pStyle w:val="Heading1"/>
        <w:pBdr>
          <w:bottom w:val="single" w:color="2E5A9E" w:sz="8" w:space="4"/>
        </w:pBdr>
        <w:spacing w:after="200" w:before="360"/>
      </w:pPr>
      <w:r>
        <w:rPr>
          <w:b/>
          <w:bCs/>
          <w:color w:val="1F3864"/>
          <w:sz w:val="30"/>
          <w:szCs w:val="30"/>
        </w:rPr>
        <w:t xml:space="preserve">3. Work Hours, Location, and Attendance</w:t>
      </w:r>
    </w:p>
    <w:p>
      <w:pPr>
        <w:spacing w:after="160"/>
      </w:pPr>
      <w:r>
        <w:rPr>
          <w:sz w:val="22"/>
          <w:szCs w:val="22"/>
        </w:rPr>
        <w:t xml:space="preserve">Zava operates a hybrid-first model. Employees are expected to work from a Zava office at least 2 days per week unless their role is designated fully remote in their offer letter. Core collaboration hours are 10:00–15:00 in the employee’s local time zone.</w:t>
      </w:r>
    </w:p>
    <w:p>
      <w:pPr>
        <w:pStyle w:val="ListParagraph"/>
        <w:numPr>
          <w:ilvl w:val="0"/>
          <w:numId w:val="2"/>
        </w:numPr>
        <w:spacing w:after="80"/>
      </w:pPr>
      <w:r>
        <w:rPr>
          <w:sz w:val="22"/>
          <w:szCs w:val="22"/>
        </w:rPr>
        <w:t xml:space="preserve">Flexible start/end times are permitted outside core hours, subject to manager agreement.</w:t>
      </w:r>
    </w:p>
    <w:p>
      <w:pPr>
        <w:pStyle w:val="ListParagraph"/>
        <w:numPr>
          <w:ilvl w:val="0"/>
          <w:numId w:val="2"/>
        </w:numPr>
        <w:spacing w:after="80"/>
      </w:pPr>
      <w:r>
        <w:rPr>
          <w:sz w:val="22"/>
          <w:szCs w:val="22"/>
        </w:rPr>
        <w:t xml:space="preserve">Unplanned absence must be reported to your manager before the start of the workday, or as soon as reasonably possible.</w:t>
      </w:r>
    </w:p>
    <w:p>
      <w:pPr>
        <w:pStyle w:val="ListParagraph"/>
        <w:numPr>
          <w:ilvl w:val="0"/>
          <w:numId w:val="2"/>
        </w:numPr>
        <w:spacing w:after="80"/>
      </w:pPr>
      <w:r>
        <w:rPr>
          <w:sz w:val="22"/>
          <w:szCs w:val="22"/>
        </w:rPr>
        <w:t xml:space="preserve">Persistent unexplained absence is addressed through the Performance Improvement process.</w:t>
      </w:r>
    </w:p>
    <w:p>
      <w:pPr>
        <w:pStyle w:val="Heading1"/>
        <w:pBdr>
          <w:bottom w:val="single" w:color="2E5A9E" w:sz="8" w:space="4"/>
        </w:pBdr>
        <w:spacing w:after="200" w:before="360"/>
      </w:pPr>
      <w:r>
        <w:rPr>
          <w:b/>
          <w:bCs/>
          <w:color w:val="1F3864"/>
          <w:sz w:val="30"/>
          <w:szCs w:val="30"/>
        </w:rPr>
        <w:t xml:space="preserve">4. Leave Policies</w:t>
      </w:r>
    </w:p>
    <w:p>
      <w:pPr>
        <w:spacing w:after="160"/>
      </w:pPr>
      <w:r>
        <w:rPr>
          <w:sz w:val="22"/>
          <w:szCs w:val="22"/>
        </w:rPr>
        <w:t xml:space="preserve">The table below summarizes standard leave entitlements. Regional statutory minimums always apply where they exceed the figures below; see your local addendum for jurisdiction-specific detail.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2E5A9E" w:val="clear"/>
            <w:tcMar>
              <w:top w:type="dxa" w:w="80"/>
              <w:left w:type="dxa" w:w="120"/>
              <w:bottom w:type="dxa" w:w="80"/>
              <w:right w:type="dxa" w:w="120"/>
            </w:tcMar>
          </w:tcPr>
          <w:p>
            <w:r>
              <w:rPr>
                <w:b/>
                <w:bCs/>
                <w:color w:val="FFFFFF"/>
                <w:sz w:val="20"/>
                <w:szCs w:val="20"/>
              </w:rPr>
              <w:t xml:space="preserve">Leave Type</w:t>
            </w:r>
          </w:p>
        </w:tc>
        <w:tc>
          <w:tcPr>
            <w:tcW w:type="dxa" w:w="3300"/>
            <w:shd w:fill="2E5A9E" w:val="clear"/>
            <w:tcMar>
              <w:top w:type="dxa" w:w="80"/>
              <w:left w:type="dxa" w:w="120"/>
              <w:bottom w:type="dxa" w:w="80"/>
              <w:right w:type="dxa" w:w="120"/>
            </w:tcMar>
          </w:tcPr>
          <w:p>
            <w:r>
              <w:rPr>
                <w:b/>
                <w:bCs/>
                <w:color w:val="FFFFFF"/>
                <w:sz w:val="20"/>
                <w:szCs w:val="20"/>
              </w:rPr>
              <w:t xml:space="preserve">Standard Entitlement</w:t>
            </w:r>
          </w:p>
        </w:tc>
        <w:tc>
          <w:tcPr>
            <w:tcW w:type="dxa" w:w="3300"/>
            <w:shd w:fill="2E5A9E" w:val="clear"/>
            <w:tcMar>
              <w:top w:type="dxa" w:w="80"/>
              <w:left w:type="dxa" w:w="120"/>
              <w:bottom w:type="dxa" w:w="80"/>
              <w:right w:type="dxa" w:w="120"/>
            </w:tcMar>
          </w:tcPr>
          <w:p>
            <w:r>
              <w:rPr>
                <w:b/>
                <w:bCs/>
                <w:color w:val="FFFFFF"/>
                <w:sz w:val="20"/>
                <w:szCs w:val="20"/>
              </w:rPr>
              <w:t xml:space="preserve">Approval / Notice</w:t>
            </w:r>
          </w:p>
        </w:tc>
      </w:tr>
      <w:tr>
        <w:tc>
          <w:tcPr>
            <w:tcW w:type="dxa" w:w="2600"/>
            <w:tcMar>
              <w:top w:type="dxa" w:w="80"/>
              <w:left w:type="dxa" w:w="120"/>
              <w:bottom w:type="dxa" w:w="80"/>
              <w:right w:type="dxa" w:w="120"/>
            </w:tcMar>
          </w:tcPr>
          <w:p>
            <w:r>
              <w:rPr>
                <w:b w:val="false"/>
                <w:bCs w:val="false"/>
                <w:color w:val="000000"/>
                <w:sz w:val="20"/>
                <w:szCs w:val="20"/>
              </w:rPr>
              <w:t xml:space="preserve">Annual (Vacation) Leave</w:t>
            </w:r>
          </w:p>
        </w:tc>
        <w:tc>
          <w:tcPr>
            <w:tcW w:type="dxa" w:w="3300"/>
            <w:tcMar>
              <w:top w:type="dxa" w:w="80"/>
              <w:left w:type="dxa" w:w="120"/>
              <w:bottom w:type="dxa" w:w="80"/>
              <w:right w:type="dxa" w:w="120"/>
            </w:tcMar>
          </w:tcPr>
          <w:p>
            <w:r>
              <w:rPr>
                <w:b w:val="false"/>
                <w:bCs w:val="false"/>
                <w:color w:val="000000"/>
                <w:sz w:val="20"/>
                <w:szCs w:val="20"/>
              </w:rPr>
              <w:t xml:space="preserve">25 days/year, accrued monthly</w:t>
            </w:r>
          </w:p>
        </w:tc>
        <w:tc>
          <w:tcPr>
            <w:tcW w:type="dxa" w:w="3300"/>
            <w:tcMar>
              <w:top w:type="dxa" w:w="80"/>
              <w:left w:type="dxa" w:w="120"/>
              <w:bottom w:type="dxa" w:w="80"/>
              <w:right w:type="dxa" w:w="120"/>
            </w:tcMar>
          </w:tcPr>
          <w:p>
            <w:r>
              <w:rPr>
                <w:b w:val="false"/>
                <w:bCs w:val="false"/>
                <w:color w:val="000000"/>
                <w:sz w:val="20"/>
                <w:szCs w:val="20"/>
              </w:rPr>
              <w:t xml:space="preserve">Manager approval, 2 weeks notice preferred</w:t>
            </w:r>
          </w:p>
        </w:tc>
      </w:tr>
      <w:tr>
        <w:tc>
          <w:tcPr>
            <w:tcW w:type="dxa" w:w="2600"/>
            <w:tcMar>
              <w:top w:type="dxa" w:w="80"/>
              <w:left w:type="dxa" w:w="120"/>
              <w:bottom w:type="dxa" w:w="80"/>
              <w:right w:type="dxa" w:w="120"/>
            </w:tcMar>
          </w:tcPr>
          <w:p>
            <w:r>
              <w:rPr>
                <w:b w:val="false"/>
                <w:bCs w:val="false"/>
                <w:color w:val="000000"/>
                <w:sz w:val="20"/>
                <w:szCs w:val="20"/>
              </w:rPr>
              <w:t xml:space="preserve">Sick Leave</w:t>
            </w:r>
          </w:p>
        </w:tc>
        <w:tc>
          <w:tcPr>
            <w:tcW w:type="dxa" w:w="3300"/>
            <w:tcMar>
              <w:top w:type="dxa" w:w="80"/>
              <w:left w:type="dxa" w:w="120"/>
              <w:bottom w:type="dxa" w:w="80"/>
              <w:right w:type="dxa" w:w="120"/>
            </w:tcMar>
          </w:tcPr>
          <w:p>
            <w:r>
              <w:rPr>
                <w:b w:val="false"/>
                <w:bCs w:val="false"/>
                <w:color w:val="000000"/>
                <w:sz w:val="20"/>
                <w:szCs w:val="20"/>
              </w:rPr>
              <w:t xml:space="preserve">10 days/year fully paid; extended leave per local law</w:t>
            </w:r>
          </w:p>
        </w:tc>
        <w:tc>
          <w:tcPr>
            <w:tcW w:type="dxa" w:w="3300"/>
            <w:tcMar>
              <w:top w:type="dxa" w:w="80"/>
              <w:left w:type="dxa" w:w="120"/>
              <w:bottom w:type="dxa" w:w="80"/>
              <w:right w:type="dxa" w:w="120"/>
            </w:tcMar>
          </w:tcPr>
          <w:p>
            <w:r>
              <w:rPr>
                <w:b w:val="false"/>
                <w:bCs w:val="false"/>
                <w:color w:val="000000"/>
                <w:sz w:val="20"/>
                <w:szCs w:val="20"/>
              </w:rPr>
              <w:t xml:space="preserve">Notify manager same-day; medical certificate after 3 consecutive days</w:t>
            </w:r>
          </w:p>
        </w:tc>
      </w:tr>
      <w:tr>
        <w:tc>
          <w:tcPr>
            <w:tcW w:type="dxa" w:w="2600"/>
            <w:tcMar>
              <w:top w:type="dxa" w:w="80"/>
              <w:left w:type="dxa" w:w="120"/>
              <w:bottom w:type="dxa" w:w="80"/>
              <w:right w:type="dxa" w:w="120"/>
            </w:tcMar>
          </w:tcPr>
          <w:p>
            <w:r>
              <w:rPr>
                <w:b w:val="false"/>
                <w:bCs w:val="false"/>
                <w:color w:val="000000"/>
                <w:sz w:val="20"/>
                <w:szCs w:val="20"/>
              </w:rPr>
              <w:t xml:space="preserve">Parental Leave</w:t>
            </w:r>
          </w:p>
        </w:tc>
        <w:tc>
          <w:tcPr>
            <w:tcW w:type="dxa" w:w="3300"/>
            <w:tcMar>
              <w:top w:type="dxa" w:w="80"/>
              <w:left w:type="dxa" w:w="120"/>
              <w:bottom w:type="dxa" w:w="80"/>
              <w:right w:type="dxa" w:w="120"/>
            </w:tcMar>
          </w:tcPr>
          <w:p>
            <w:r>
              <w:rPr>
                <w:b w:val="false"/>
                <w:bCs w:val="false"/>
                <w:color w:val="000000"/>
                <w:sz w:val="20"/>
                <w:szCs w:val="20"/>
              </w:rPr>
              <w:t xml:space="preserve">18 weeks primary caregiver, 6 weeks secondary, paid</w:t>
            </w:r>
          </w:p>
        </w:tc>
        <w:tc>
          <w:tcPr>
            <w:tcW w:type="dxa" w:w="3300"/>
            <w:tcMar>
              <w:top w:type="dxa" w:w="80"/>
              <w:left w:type="dxa" w:w="120"/>
              <w:bottom w:type="dxa" w:w="80"/>
              <w:right w:type="dxa" w:w="120"/>
            </w:tcMar>
          </w:tcPr>
          <w:p>
            <w:r>
              <w:rPr>
                <w:b w:val="false"/>
                <w:bCs w:val="false"/>
                <w:color w:val="000000"/>
                <w:sz w:val="20"/>
                <w:szCs w:val="20"/>
              </w:rPr>
              <w:t xml:space="preserve">HR notification 8 weeks before expected start where possible</w:t>
            </w:r>
          </w:p>
        </w:tc>
      </w:tr>
      <w:tr>
        <w:tc>
          <w:tcPr>
            <w:tcW w:type="dxa" w:w="2600"/>
            <w:tcMar>
              <w:top w:type="dxa" w:w="80"/>
              <w:left w:type="dxa" w:w="120"/>
              <w:bottom w:type="dxa" w:w="80"/>
              <w:right w:type="dxa" w:w="120"/>
            </w:tcMar>
          </w:tcPr>
          <w:p>
            <w:r>
              <w:rPr>
                <w:b w:val="false"/>
                <w:bCs w:val="false"/>
                <w:color w:val="000000"/>
                <w:sz w:val="20"/>
                <w:szCs w:val="20"/>
              </w:rPr>
              <w:t xml:space="preserve">Bereavement Leave</w:t>
            </w:r>
          </w:p>
        </w:tc>
        <w:tc>
          <w:tcPr>
            <w:tcW w:type="dxa" w:w="3300"/>
            <w:tcMar>
              <w:top w:type="dxa" w:w="80"/>
              <w:left w:type="dxa" w:w="120"/>
              <w:bottom w:type="dxa" w:w="80"/>
              <w:right w:type="dxa" w:w="120"/>
            </w:tcMar>
          </w:tcPr>
          <w:p>
            <w:r>
              <w:rPr>
                <w:b w:val="false"/>
                <w:bCs w:val="false"/>
                <w:color w:val="000000"/>
                <w:sz w:val="20"/>
                <w:szCs w:val="20"/>
              </w:rPr>
              <w:t xml:space="preserve">Up to 5 days paid</w:t>
            </w:r>
          </w:p>
        </w:tc>
        <w:tc>
          <w:tcPr>
            <w:tcW w:type="dxa" w:w="3300"/>
            <w:tcMar>
              <w:top w:type="dxa" w:w="80"/>
              <w:left w:type="dxa" w:w="120"/>
              <w:bottom w:type="dxa" w:w="80"/>
              <w:right w:type="dxa" w:w="120"/>
            </w:tcMar>
          </w:tcPr>
          <w:p>
            <w:r>
              <w:rPr>
                <w:b w:val="false"/>
                <w:bCs w:val="false"/>
                <w:color w:val="000000"/>
                <w:sz w:val="20"/>
                <w:szCs w:val="20"/>
              </w:rPr>
              <w:t xml:space="preserve">Notify manager and HR as soon as possible</w:t>
            </w:r>
          </w:p>
        </w:tc>
      </w:tr>
      <w:tr>
        <w:tc>
          <w:tcPr>
            <w:tcW w:type="dxa" w:w="2600"/>
            <w:tcMar>
              <w:top w:type="dxa" w:w="80"/>
              <w:left w:type="dxa" w:w="120"/>
              <w:bottom w:type="dxa" w:w="80"/>
              <w:right w:type="dxa" w:w="120"/>
            </w:tcMar>
          </w:tcPr>
          <w:p>
            <w:r>
              <w:rPr>
                <w:b w:val="false"/>
                <w:bCs w:val="false"/>
                <w:color w:val="000000"/>
                <w:sz w:val="20"/>
                <w:szCs w:val="20"/>
              </w:rPr>
              <w:t xml:space="preserve">Public Holidays</w:t>
            </w:r>
          </w:p>
        </w:tc>
        <w:tc>
          <w:tcPr>
            <w:tcW w:type="dxa" w:w="3300"/>
            <w:tcMar>
              <w:top w:type="dxa" w:w="80"/>
              <w:left w:type="dxa" w:w="120"/>
              <w:bottom w:type="dxa" w:w="80"/>
              <w:right w:type="dxa" w:w="120"/>
            </w:tcMar>
          </w:tcPr>
          <w:p>
            <w:r>
              <w:rPr>
                <w:b w:val="false"/>
                <w:bCs w:val="false"/>
                <w:color w:val="000000"/>
                <w:sz w:val="20"/>
                <w:szCs w:val="20"/>
              </w:rPr>
              <w:t xml:space="preserve">Per local jurisdiction calendar</w:t>
            </w:r>
          </w:p>
        </w:tc>
        <w:tc>
          <w:tcPr>
            <w:tcW w:type="dxa" w:w="3300"/>
            <w:tcMar>
              <w:top w:type="dxa" w:w="80"/>
              <w:left w:type="dxa" w:w="120"/>
              <w:bottom w:type="dxa" w:w="80"/>
              <w:right w:type="dxa" w:w="120"/>
            </w:tcMar>
          </w:tcPr>
          <w:p>
            <w:r>
              <w:rPr>
                <w:b w:val="false"/>
                <w:bCs w:val="false"/>
                <w:color w:val="000000"/>
                <w:sz w:val="20"/>
                <w:szCs w:val="20"/>
              </w:rPr>
              <w:t xml:space="preserve">Published annually on the People Hub</w:t>
            </w:r>
          </w:p>
        </w:tc>
      </w:tr>
      <w:tr>
        <w:tc>
          <w:tcPr>
            <w:tcW w:type="dxa" w:w="2600"/>
            <w:tcMar>
              <w:top w:type="dxa" w:w="80"/>
              <w:left w:type="dxa" w:w="120"/>
              <w:bottom w:type="dxa" w:w="80"/>
              <w:right w:type="dxa" w:w="120"/>
            </w:tcMar>
          </w:tcPr>
          <w:p>
            <w:r>
              <w:rPr>
                <w:b w:val="false"/>
                <w:bCs w:val="false"/>
                <w:color w:val="000000"/>
                <w:sz w:val="20"/>
                <w:szCs w:val="20"/>
              </w:rPr>
              <w:t xml:space="preserve">Unpaid Leave of Absence</w:t>
            </w:r>
          </w:p>
        </w:tc>
        <w:tc>
          <w:tcPr>
            <w:tcW w:type="dxa" w:w="3300"/>
            <w:tcMar>
              <w:top w:type="dxa" w:w="80"/>
              <w:left w:type="dxa" w:w="120"/>
              <w:bottom w:type="dxa" w:w="80"/>
              <w:right w:type="dxa" w:w="120"/>
            </w:tcMar>
          </w:tcPr>
          <w:p>
            <w:r>
              <w:rPr>
                <w:b w:val="false"/>
                <w:bCs w:val="false"/>
                <w:color w:val="000000"/>
                <w:sz w:val="20"/>
                <w:szCs w:val="20"/>
              </w:rPr>
              <w:t xml:space="preserve">Case-by-case, up to 90 days</w:t>
            </w:r>
          </w:p>
        </w:tc>
        <w:tc>
          <w:tcPr>
            <w:tcW w:type="dxa" w:w="3300"/>
            <w:tcMar>
              <w:top w:type="dxa" w:w="80"/>
              <w:left w:type="dxa" w:w="120"/>
              <w:bottom w:type="dxa" w:w="80"/>
              <w:right w:type="dxa" w:w="120"/>
            </w:tcMar>
          </w:tcPr>
          <w:p>
            <w:r>
              <w:rPr>
                <w:b w:val="false"/>
                <w:bCs w:val="false"/>
                <w:color w:val="000000"/>
                <w:sz w:val="20"/>
                <w:szCs w:val="20"/>
              </w:rPr>
              <w:t xml:space="preserve">HR Business Partner approval required</w:t>
            </w:r>
          </w:p>
        </w:tc>
      </w:tr>
    </w:tbl>
    <w:p>
      <w:pPr>
        <w:pStyle w:val="Heading1"/>
        <w:pBdr>
          <w:bottom w:val="single" w:color="2E5A9E" w:sz="8" w:space="4"/>
        </w:pBdr>
        <w:spacing w:after="200" w:before="360"/>
      </w:pPr>
      <w:r>
        <w:rPr>
          <w:b/>
          <w:bCs/>
          <w:color w:val="1F3864"/>
          <w:sz w:val="30"/>
          <w:szCs w:val="30"/>
        </w:rPr>
        <w:t xml:space="preserve">5. Compensation and Benefits</w:t>
      </w:r>
    </w:p>
    <w:p>
      <w:pPr>
        <w:pStyle w:val="Heading2"/>
        <w:spacing w:after="140" w:before="260"/>
      </w:pPr>
      <w:r>
        <w:rPr>
          <w:b/>
          <w:bCs/>
          <w:color w:val="2E5A9E"/>
          <w:sz w:val="24"/>
          <w:szCs w:val="24"/>
        </w:rPr>
        <w:t xml:space="preserve">5.1 Pay Cycle</w:t>
      </w:r>
    </w:p>
    <w:p>
      <w:pPr>
        <w:spacing w:after="160"/>
      </w:pPr>
      <w:r>
        <w:rPr>
          <w:sz w:val="22"/>
          <w:szCs w:val="22"/>
        </w:rPr>
        <w:t xml:space="preserve">Employees are paid monthly, on the last business day of the month, via direct deposit. Pay slips are available on the People Hub payroll portal.</w:t>
      </w:r>
    </w:p>
    <w:p>
      <w:pPr>
        <w:pStyle w:val="Heading2"/>
        <w:spacing w:after="140" w:before="260"/>
      </w:pPr>
      <w:r>
        <w:rPr>
          <w:b/>
          <w:bCs/>
          <w:color w:val="2E5A9E"/>
          <w:sz w:val="24"/>
          <w:szCs w:val="24"/>
        </w:rPr>
        <w:t xml:space="preserve">5.2 Benefits Overview</w:t>
      </w:r>
    </w:p>
    <w:p>
      <w:pPr>
        <w:pStyle w:val="ListParagraph"/>
        <w:numPr>
          <w:ilvl w:val="0"/>
          <w:numId w:val="2"/>
        </w:numPr>
        <w:spacing w:after="80"/>
      </w:pPr>
      <w:r>
        <w:rPr>
          <w:sz w:val="22"/>
          <w:szCs w:val="22"/>
        </w:rPr>
        <w:t xml:space="preserve">Health insurance: medical, dental, and vision coverage, with dependent coverage available at employee cost-share.</w:t>
      </w:r>
    </w:p>
    <w:p>
      <w:pPr>
        <w:pStyle w:val="ListParagraph"/>
        <w:numPr>
          <w:ilvl w:val="0"/>
          <w:numId w:val="2"/>
        </w:numPr>
        <w:spacing w:after="80"/>
      </w:pPr>
      <w:r>
        <w:rPr>
          <w:sz w:val="22"/>
          <w:szCs w:val="22"/>
        </w:rPr>
        <w:t xml:space="preserve">Retirement/pension contribution matching, per local scheme (e.g., 401(k) match in the US, pension auto-enrollment in the UK).</w:t>
      </w:r>
    </w:p>
    <w:p>
      <w:pPr>
        <w:pStyle w:val="ListParagraph"/>
        <w:numPr>
          <w:ilvl w:val="0"/>
          <w:numId w:val="2"/>
        </w:numPr>
        <w:spacing w:after="80"/>
      </w:pPr>
      <w:r>
        <w:rPr>
          <w:sz w:val="22"/>
          <w:szCs w:val="22"/>
        </w:rPr>
        <w:t xml:space="preserve">Annual learning and development stipend of $1,500 per employee (see Section 7).</w:t>
      </w:r>
    </w:p>
    <w:p>
      <w:pPr>
        <w:pStyle w:val="ListParagraph"/>
        <w:numPr>
          <w:ilvl w:val="0"/>
          <w:numId w:val="2"/>
        </w:numPr>
        <w:spacing w:after="80"/>
      </w:pPr>
      <w:r>
        <w:rPr>
          <w:sz w:val="22"/>
          <w:szCs w:val="22"/>
        </w:rPr>
        <w:t xml:space="preserve">Employee Assistance Program (EAP): confidential counseling and wellbeing support, available 24/7.</w:t>
      </w:r>
    </w:p>
    <w:p>
      <w:pPr>
        <w:pStyle w:val="Heading1"/>
        <w:pBdr>
          <w:bottom w:val="single" w:color="2E5A9E" w:sz="8" w:space="4"/>
        </w:pBdr>
        <w:spacing w:after="200" w:before="360"/>
      </w:pPr>
      <w:r>
        <w:rPr>
          <w:b/>
          <w:bCs/>
          <w:color w:val="1F3864"/>
          <w:sz w:val="30"/>
          <w:szCs w:val="30"/>
        </w:rPr>
        <w:t xml:space="preserve">6. Code of Conduct</w:t>
      </w:r>
    </w:p>
    <w:p>
      <w:pPr>
        <w:spacing w:after="160"/>
      </w:pPr>
      <w:r>
        <w:rPr>
          <w:sz w:val="22"/>
          <w:szCs w:val="22"/>
        </w:rPr>
        <w:t xml:space="preserve">All employees are expected to act with integrity, respect, and professionalism. This section summarizes key expectations; full detail is in the standalone Code of Conduct and the Legal Guidelines document.</w:t>
      </w:r>
    </w:p>
    <w:p>
      <w:pPr>
        <w:pStyle w:val="ListParagraph"/>
        <w:numPr>
          <w:ilvl w:val="0"/>
          <w:numId w:val="2"/>
        </w:numPr>
        <w:spacing w:after="80"/>
      </w:pPr>
      <w:r>
        <w:rPr>
          <w:sz w:val="22"/>
          <w:szCs w:val="22"/>
        </w:rPr>
        <w:t xml:space="preserve">Treat colleagues, customers, and partners with respect; harassment or discrimination of any kind is prohibited and will be investigated under the formal Grievance Procedure.</w:t>
      </w:r>
    </w:p>
    <w:p>
      <w:pPr>
        <w:pStyle w:val="ListParagraph"/>
        <w:numPr>
          <w:ilvl w:val="0"/>
          <w:numId w:val="2"/>
        </w:numPr>
        <w:spacing w:after="80"/>
      </w:pPr>
      <w:r>
        <w:rPr>
          <w:sz w:val="22"/>
          <w:szCs w:val="22"/>
        </w:rPr>
        <w:t xml:space="preserve">Protect confidential and personal data in line with the Data Protection Policy.</w:t>
      </w:r>
    </w:p>
    <w:p>
      <w:pPr>
        <w:pStyle w:val="ListParagraph"/>
        <w:numPr>
          <w:ilvl w:val="0"/>
          <w:numId w:val="2"/>
        </w:numPr>
        <w:spacing w:after="80"/>
      </w:pPr>
      <w:r>
        <w:rPr>
          <w:sz w:val="22"/>
          <w:szCs w:val="22"/>
        </w:rPr>
        <w:t xml:space="preserve">Disclose conflicts of interest promptly (see Legal Guidelines, Section 5).</w:t>
      </w:r>
    </w:p>
    <w:p>
      <w:pPr>
        <w:pStyle w:val="ListParagraph"/>
        <w:numPr>
          <w:ilvl w:val="0"/>
          <w:numId w:val="2"/>
        </w:numPr>
        <w:spacing w:after="80"/>
      </w:pPr>
      <w:r>
        <w:rPr>
          <w:sz w:val="22"/>
          <w:szCs w:val="22"/>
        </w:rPr>
        <w:t xml:space="preserve">Use company systems and equipment responsibly and in line with the Acceptable Use Policy.</w:t>
      </w:r>
    </w:p>
    <w:p>
      <w:pPr>
        <w:pStyle w:val="Heading1"/>
        <w:pBdr>
          <w:bottom w:val="single" w:color="2E5A9E" w:sz="8" w:space="4"/>
        </w:pBdr>
        <w:spacing w:after="200" w:before="360"/>
      </w:pPr>
      <w:r>
        <w:rPr>
          <w:b/>
          <w:bCs/>
          <w:color w:val="1F3864"/>
          <w:sz w:val="30"/>
          <w:szCs w:val="30"/>
        </w:rPr>
        <w:t xml:space="preserve">7. Performance, Learning, and Development</w:t>
      </w:r>
    </w:p>
    <w:p>
      <w:pPr>
        <w:pStyle w:val="Heading2"/>
        <w:spacing w:after="140" w:before="260"/>
      </w:pPr>
      <w:r>
        <w:rPr>
          <w:b/>
          <w:bCs/>
          <w:color w:val="2E5A9E"/>
          <w:sz w:val="24"/>
          <w:szCs w:val="24"/>
        </w:rPr>
        <w:t xml:space="preserve">7.1 Performance Reviews</w:t>
      </w:r>
    </w:p>
    <w:p>
      <w:pPr>
        <w:spacing w:after="160"/>
      </w:pPr>
      <w:r>
        <w:rPr>
          <w:sz w:val="22"/>
          <w:szCs w:val="22"/>
        </w:rPr>
        <w:t xml:space="preserve">Zava runs a twice-yearly performance review cycle (April and October), combining self-assessment, manager review, and peer feedback. Ratings feed into compensation review and promotion decisions, communicated within 4 weeks of cycle close.</w:t>
      </w:r>
    </w:p>
    <w:p>
      <w:pPr>
        <w:pStyle w:val="Heading2"/>
        <w:spacing w:after="140" w:before="260"/>
      </w:pPr>
      <w:r>
        <w:rPr>
          <w:b/>
          <w:bCs/>
          <w:color w:val="2E5A9E"/>
          <w:sz w:val="24"/>
          <w:szCs w:val="24"/>
        </w:rPr>
        <w:t xml:space="preserve">7.2 Learning and Development</w:t>
      </w:r>
    </w:p>
    <w:p>
      <w:pPr>
        <w:spacing w:after="160"/>
      </w:pPr>
      <w:r>
        <w:rPr>
          <w:sz w:val="22"/>
          <w:szCs w:val="22"/>
        </w:rPr>
        <w:t xml:space="preserve">Every employee has access to an annual $1,500 learning stipend, usable for courses, certifications, conferences, or books relevant to their role or growth path. Requests are submitted via the Learning Portal and require manager approval.</w:t>
      </w:r>
    </w:p>
    <w:p>
      <w:pPr>
        <w:pStyle w:val="Heading2"/>
        <w:spacing w:after="140" w:before="260"/>
      </w:pPr>
      <w:r>
        <w:rPr>
          <w:b/>
          <w:bCs/>
          <w:color w:val="2E5A9E"/>
          <w:sz w:val="24"/>
          <w:szCs w:val="24"/>
        </w:rPr>
        <w:t xml:space="preserve">7.3 Career Growth Pathways</w:t>
      </w:r>
    </w:p>
    <w:p>
      <w:pPr>
        <w:spacing w:after="160"/>
      </w:pPr>
      <w:r>
        <w:rPr>
          <w:sz w:val="22"/>
          <w:szCs w:val="22"/>
        </w:rPr>
        <w:t xml:space="preserve">Career ladders and role expectations for each job family are published on the People Hub under Career Frameworks. Employees are encouraged to discuss growth pathways with their manager at least once per quarter, separate from formal performance reviews.</w:t>
      </w:r>
    </w:p>
    <w:p>
      <w:pPr>
        <w:pStyle w:val="Heading1"/>
        <w:pBdr>
          <w:bottom w:val="single" w:color="2E5A9E" w:sz="8" w:space="4"/>
        </w:pBdr>
        <w:spacing w:after="200" w:before="360"/>
      </w:pPr>
      <w:r>
        <w:rPr>
          <w:b/>
          <w:bCs/>
          <w:color w:val="1F3864"/>
          <w:sz w:val="30"/>
          <w:szCs w:val="30"/>
        </w:rPr>
        <w:t xml:space="preserve">8. Recruitment and Internal Mobility</w:t>
      </w:r>
    </w:p>
    <w:p>
      <w:pPr>
        <w:spacing w:after="160"/>
      </w:pPr>
      <w:r>
        <w:rPr>
          <w:sz w:val="22"/>
          <w:szCs w:val="22"/>
        </w:rPr>
        <w:t xml:space="preserve">Open roles are posted internally for a minimum of 5 business days before external posting, giving current employees first opportunity to apply. Employees are eligible to apply for internal roles after 12 months in their current position, or sooner with manager and HR agreement.</w:t>
      </w:r>
    </w:p>
    <w:p>
      <w:pPr>
        <w:spacing w:after="160"/>
      </w:pPr>
      <w:r>
        <w:rPr>
          <w:sz w:val="22"/>
          <w:szCs w:val="22"/>
        </w:rPr>
        <w:t xml:space="preserve">Referral bonuses are available for successful hires sourced through the Employee Referral Program — details and current bonus amounts are published on the People Hub.</w:t>
      </w:r>
    </w:p>
    <w:p>
      <w:pPr>
        <w:pStyle w:val="Heading1"/>
        <w:pBdr>
          <w:bottom w:val="single" w:color="2E5A9E" w:sz="8" w:space="4"/>
        </w:pBdr>
        <w:spacing w:after="200" w:before="360"/>
      </w:pPr>
      <w:r>
        <w:rPr>
          <w:b/>
          <w:bCs/>
          <w:color w:val="1F3864"/>
          <w:sz w:val="30"/>
          <w:szCs w:val="30"/>
        </w:rPr>
        <w:t xml:space="preserve">9. IT, Security, and Acceptable Use</w:t>
      </w:r>
    </w:p>
    <w:p>
      <w:pPr>
        <w:spacing w:after="160"/>
      </w:pPr>
      <w:r>
        <w:rPr>
          <w:sz w:val="22"/>
          <w:szCs w:val="22"/>
        </w:rPr>
        <w:t xml:space="preserve">Employees must complete mandatory security awareness training within 30 days of hire and annually thereafter. Multi-factor authentication is required on all Zava accounts. Company devices and accounts are for business use; incidental personal use is permitted within reasonable limits and must never involve storing personal sensitive data on company systems.</w:t>
      </w:r>
    </w:p>
    <w:p>
      <w:pPr>
        <w:pStyle w:val="Heading1"/>
        <w:pBdr>
          <w:bottom w:val="single" w:color="2E5A9E" w:sz="8" w:space="4"/>
        </w:pBdr>
        <w:spacing w:after="200" w:before="360"/>
      </w:pPr>
      <w:r>
        <w:rPr>
          <w:b/>
          <w:bCs/>
          <w:color w:val="1F3864"/>
          <w:sz w:val="30"/>
          <w:szCs w:val="30"/>
        </w:rPr>
        <w:t xml:space="preserve">10. Offboarding</w:t>
      </w:r>
    </w:p>
    <w:p>
      <w:pPr>
        <w:spacing w:after="160"/>
      </w:pPr>
      <w:r>
        <w:rPr>
          <w:sz w:val="22"/>
          <w:szCs w:val="22"/>
        </w:rPr>
        <w:t xml:space="preserve">Employees who resign are asked to provide notice per their contract (typically 4 weeks, longer for senior roles). HR will schedule an exit interview, coordinate return of company equipment, and process final pay and any accrued but unused leave in line with local law.</w:t>
      </w:r>
    </w:p>
    <w:p>
      <w:pPr>
        <w:pStyle w:val="Heading1"/>
        <w:pBdr>
          <w:bottom w:val="single" w:color="2E5A9E" w:sz="8" w:space="4"/>
        </w:pBdr>
        <w:spacing w:after="200" w:before="360"/>
      </w:pPr>
      <w:r>
        <w:rPr>
          <w:b/>
          <w:bCs/>
          <w:color w:val="1F3864"/>
          <w:sz w:val="30"/>
          <w:szCs w:val="30"/>
        </w:rPr>
        <w:t xml:space="preserve">11. Getting Help</w:t>
      </w:r>
    </w:p>
    <w:p>
      <w:pPr>
        <w:spacing w:after="160"/>
      </w:pPr>
      <w:r>
        <w:rPr>
          <w:sz w:val="22"/>
          <w:szCs w:val="22"/>
        </w:rPr>
        <w:t xml:space="preserve">If you have a question this handbook doesn’t answer, start with your manager or HR Business Partner. The table below lists key contacts for common topics.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2E5A9E" w:val="clear"/>
            <w:tcMar>
              <w:top w:type="dxa" w:w="80"/>
              <w:left w:type="dxa" w:w="120"/>
              <w:bottom w:type="dxa" w:w="80"/>
              <w:right w:type="dxa" w:w="120"/>
            </w:tcMar>
          </w:tcPr>
          <w:p>
            <w:r>
              <w:rPr>
                <w:b/>
                <w:bCs/>
                <w:color w:val="FFFFFF"/>
                <w:sz w:val="20"/>
                <w:szCs w:val="20"/>
              </w:rPr>
              <w:t xml:space="preserve">Topic</w:t>
            </w:r>
          </w:p>
        </w:tc>
        <w:tc>
          <w:tcPr>
            <w:tcW w:type="dxa" w:w="3200"/>
            <w:shd w:fill="2E5A9E" w:val="clear"/>
            <w:tcMar>
              <w:top w:type="dxa" w:w="80"/>
              <w:left w:type="dxa" w:w="120"/>
              <w:bottom w:type="dxa" w:w="80"/>
              <w:right w:type="dxa" w:w="120"/>
            </w:tcMar>
          </w:tcPr>
          <w:p>
            <w:r>
              <w:rPr>
                <w:b/>
                <w:bCs/>
                <w:color w:val="FFFFFF"/>
                <w:sz w:val="20"/>
                <w:szCs w:val="20"/>
              </w:rPr>
              <w:t xml:space="preserve">Contact</w:t>
            </w:r>
          </w:p>
        </w:tc>
        <w:tc>
          <w:tcPr>
            <w:tcW w:type="dxa" w:w="3200"/>
            <w:shd w:fill="2E5A9E" w:val="clear"/>
            <w:tcMar>
              <w:top w:type="dxa" w:w="80"/>
              <w:left w:type="dxa" w:w="120"/>
              <w:bottom w:type="dxa" w:w="80"/>
              <w:right w:type="dxa" w:w="120"/>
            </w:tcMar>
          </w:tcPr>
          <w:p>
            <w:r>
              <w:rPr>
                <w:b/>
                <w:bCs/>
                <w:color w:val="FFFFFF"/>
                <w:sz w:val="20"/>
                <w:szCs w:val="20"/>
              </w:rPr>
              <w:t xml:space="preserve">Email</w:t>
            </w:r>
          </w:p>
        </w:tc>
      </w:tr>
      <w:tr>
        <w:tc>
          <w:tcPr>
            <w:tcW w:type="dxa" w:w="2800"/>
            <w:tcMar>
              <w:top w:type="dxa" w:w="80"/>
              <w:left w:type="dxa" w:w="120"/>
              <w:bottom w:type="dxa" w:w="80"/>
              <w:right w:type="dxa" w:w="120"/>
            </w:tcMar>
          </w:tcPr>
          <w:p>
            <w:r>
              <w:rPr>
                <w:b w:val="false"/>
                <w:bCs w:val="false"/>
                <w:color w:val="000000"/>
                <w:sz w:val="20"/>
                <w:szCs w:val="20"/>
              </w:rPr>
              <w:t xml:space="preserve">General HR Questions</w:t>
            </w:r>
          </w:p>
        </w:tc>
        <w:tc>
          <w:tcPr>
            <w:tcW w:type="dxa" w:w="3200"/>
            <w:tcMar>
              <w:top w:type="dxa" w:w="80"/>
              <w:left w:type="dxa" w:w="120"/>
              <w:bottom w:type="dxa" w:w="80"/>
              <w:right w:type="dxa" w:w="120"/>
            </w:tcMar>
          </w:tcPr>
          <w:p>
            <w:r>
              <w:rPr>
                <w:b w:val="false"/>
                <w:bCs w:val="false"/>
                <w:color w:val="000000"/>
                <w:sz w:val="20"/>
                <w:szCs w:val="20"/>
              </w:rPr>
              <w:t xml:space="preserve">People Hub / HR Helpdesk</w:t>
            </w:r>
          </w:p>
        </w:tc>
        <w:tc>
          <w:tcPr>
            <w:tcW w:type="dxa" w:w="3200"/>
            <w:tcMar>
              <w:top w:type="dxa" w:w="80"/>
              <w:left w:type="dxa" w:w="120"/>
              <w:bottom w:type="dxa" w:w="80"/>
              <w:right w:type="dxa" w:w="120"/>
            </w:tcMar>
          </w:tcPr>
          <w:p>
            <w:r>
              <w:rPr>
                <w:b w:val="false"/>
                <w:bCs w:val="false"/>
                <w:color w:val="000000"/>
                <w:sz w:val="20"/>
                <w:szCs w:val="20"/>
              </w:rPr>
              <w:t xml:space="preserve">hr.helpdesk [at] zava.com</w:t>
            </w:r>
          </w:p>
        </w:tc>
      </w:tr>
      <w:tr>
        <w:tc>
          <w:tcPr>
            <w:tcW w:type="dxa" w:w="2800"/>
            <w:tcMar>
              <w:top w:type="dxa" w:w="80"/>
              <w:left w:type="dxa" w:w="120"/>
              <w:bottom w:type="dxa" w:w="80"/>
              <w:right w:type="dxa" w:w="120"/>
            </w:tcMar>
          </w:tcPr>
          <w:p>
            <w:r>
              <w:rPr>
                <w:b w:val="false"/>
                <w:bCs w:val="false"/>
                <w:color w:val="000000"/>
                <w:sz w:val="20"/>
                <w:szCs w:val="20"/>
              </w:rPr>
              <w:t xml:space="preserve">Payroll and Benefits</w:t>
            </w:r>
          </w:p>
        </w:tc>
        <w:tc>
          <w:tcPr>
            <w:tcW w:type="dxa" w:w="3200"/>
            <w:tcMar>
              <w:top w:type="dxa" w:w="80"/>
              <w:left w:type="dxa" w:w="120"/>
              <w:bottom w:type="dxa" w:w="80"/>
              <w:right w:type="dxa" w:w="120"/>
            </w:tcMar>
          </w:tcPr>
          <w:p>
            <w:r>
              <w:rPr>
                <w:b w:val="false"/>
                <w:bCs w:val="false"/>
                <w:color w:val="000000"/>
                <w:sz w:val="20"/>
                <w:szCs w:val="20"/>
              </w:rPr>
              <w:t xml:space="preserve">Aisha Bello, Total Rewards Manager</w:t>
            </w:r>
          </w:p>
        </w:tc>
        <w:tc>
          <w:tcPr>
            <w:tcW w:type="dxa" w:w="3200"/>
            <w:tcMar>
              <w:top w:type="dxa" w:w="80"/>
              <w:left w:type="dxa" w:w="120"/>
              <w:bottom w:type="dxa" w:w="80"/>
              <w:right w:type="dxa" w:w="120"/>
            </w:tcMar>
          </w:tcPr>
          <w:p>
            <w:r>
              <w:rPr>
                <w:b w:val="false"/>
                <w:bCs w:val="false"/>
                <w:color w:val="000000"/>
                <w:sz w:val="20"/>
                <w:szCs w:val="20"/>
              </w:rPr>
              <w:t xml:space="preserve">aisha.bello [at] zava.com</w:t>
            </w:r>
          </w:p>
        </w:tc>
      </w:tr>
      <w:tr>
        <w:tc>
          <w:tcPr>
            <w:tcW w:type="dxa" w:w="2800"/>
            <w:tcMar>
              <w:top w:type="dxa" w:w="80"/>
              <w:left w:type="dxa" w:w="120"/>
              <w:bottom w:type="dxa" w:w="80"/>
              <w:right w:type="dxa" w:w="120"/>
            </w:tcMar>
          </w:tcPr>
          <w:p>
            <w:r>
              <w:rPr>
                <w:b w:val="false"/>
                <w:bCs w:val="false"/>
                <w:color w:val="000000"/>
                <w:sz w:val="20"/>
                <w:szCs w:val="20"/>
              </w:rPr>
              <w:t xml:space="preserve">Learning and Development</w:t>
            </w:r>
          </w:p>
        </w:tc>
        <w:tc>
          <w:tcPr>
            <w:tcW w:type="dxa" w:w="3200"/>
            <w:tcMar>
              <w:top w:type="dxa" w:w="80"/>
              <w:left w:type="dxa" w:w="120"/>
              <w:bottom w:type="dxa" w:w="80"/>
              <w:right w:type="dxa" w:w="120"/>
            </w:tcMar>
          </w:tcPr>
          <w:p>
            <w:r>
              <w:rPr>
                <w:b w:val="false"/>
                <w:bCs w:val="false"/>
                <w:color w:val="000000"/>
                <w:sz w:val="20"/>
                <w:szCs w:val="20"/>
              </w:rPr>
              <w:t xml:space="preserve">Noah Patterson, L&amp;D Lead</w:t>
            </w:r>
          </w:p>
        </w:tc>
        <w:tc>
          <w:tcPr>
            <w:tcW w:type="dxa" w:w="3200"/>
            <w:tcMar>
              <w:top w:type="dxa" w:w="80"/>
              <w:left w:type="dxa" w:w="120"/>
              <w:bottom w:type="dxa" w:w="80"/>
              <w:right w:type="dxa" w:w="120"/>
            </w:tcMar>
          </w:tcPr>
          <w:p>
            <w:r>
              <w:rPr>
                <w:b w:val="false"/>
                <w:bCs w:val="false"/>
                <w:color w:val="000000"/>
                <w:sz w:val="20"/>
                <w:szCs w:val="20"/>
              </w:rPr>
              <w:t xml:space="preserve">noah.patterson [at] zava.com</w:t>
            </w:r>
          </w:p>
        </w:tc>
      </w:tr>
      <w:tr>
        <w:tc>
          <w:tcPr>
            <w:tcW w:type="dxa" w:w="2800"/>
            <w:tcMar>
              <w:top w:type="dxa" w:w="80"/>
              <w:left w:type="dxa" w:w="120"/>
              <w:bottom w:type="dxa" w:w="80"/>
              <w:right w:type="dxa" w:w="120"/>
            </w:tcMar>
          </w:tcPr>
          <w:p>
            <w:r>
              <w:rPr>
                <w:b w:val="false"/>
                <w:bCs w:val="false"/>
                <w:color w:val="000000"/>
                <w:sz w:val="20"/>
                <w:szCs w:val="20"/>
              </w:rPr>
              <w:t xml:space="preserve">Grievances and Conduct</w:t>
            </w:r>
          </w:p>
        </w:tc>
        <w:tc>
          <w:tcPr>
            <w:tcW w:type="dxa" w:w="3200"/>
            <w:tcMar>
              <w:top w:type="dxa" w:w="80"/>
              <w:left w:type="dxa" w:w="120"/>
              <w:bottom w:type="dxa" w:w="80"/>
              <w:right w:type="dxa" w:w="120"/>
            </w:tcMar>
          </w:tcPr>
          <w:p>
            <w:r>
              <w:rPr>
                <w:b w:val="false"/>
                <w:bCs w:val="false"/>
                <w:color w:val="000000"/>
                <w:sz w:val="20"/>
                <w:szCs w:val="20"/>
              </w:rPr>
              <w:t xml:space="preserve">Renata Silva, HR Director</w:t>
            </w:r>
          </w:p>
        </w:tc>
        <w:tc>
          <w:tcPr>
            <w:tcW w:type="dxa" w:w="3200"/>
            <w:tcMar>
              <w:top w:type="dxa" w:w="80"/>
              <w:left w:type="dxa" w:w="120"/>
              <w:bottom w:type="dxa" w:w="80"/>
              <w:right w:type="dxa" w:w="120"/>
            </w:tcMar>
          </w:tcPr>
          <w:p>
            <w:r>
              <w:rPr>
                <w:b w:val="false"/>
                <w:bCs w:val="false"/>
                <w:color w:val="000000"/>
                <w:sz w:val="20"/>
                <w:szCs w:val="20"/>
              </w:rPr>
              <w:t xml:space="preserve">renata.silva [at] zava.com</w:t>
            </w:r>
          </w:p>
        </w:tc>
      </w:tr>
      <w:tr>
        <w:tc>
          <w:tcPr>
            <w:tcW w:type="dxa" w:w="2800"/>
            <w:tcMar>
              <w:top w:type="dxa" w:w="80"/>
              <w:left w:type="dxa" w:w="120"/>
              <w:bottom w:type="dxa" w:w="80"/>
              <w:right w:type="dxa" w:w="120"/>
            </w:tcMar>
          </w:tcPr>
          <w:p>
            <w:r>
              <w:rPr>
                <w:b w:val="false"/>
                <w:bCs w:val="false"/>
                <w:color w:val="000000"/>
                <w:sz w:val="20"/>
                <w:szCs w:val="20"/>
              </w:rPr>
              <w:t xml:space="preserve">Recruitment</w:t>
            </w:r>
          </w:p>
        </w:tc>
        <w:tc>
          <w:tcPr>
            <w:tcW w:type="dxa" w:w="3200"/>
            <w:tcMar>
              <w:top w:type="dxa" w:w="80"/>
              <w:left w:type="dxa" w:w="120"/>
              <w:bottom w:type="dxa" w:w="80"/>
              <w:right w:type="dxa" w:w="120"/>
            </w:tcMar>
          </w:tcPr>
          <w:p>
            <w:r>
              <w:rPr>
                <w:b w:val="false"/>
                <w:bCs w:val="false"/>
                <w:color w:val="000000"/>
                <w:sz w:val="20"/>
                <w:szCs w:val="20"/>
              </w:rPr>
              <w:t xml:space="preserve">James Okoye, HR Manager, Talent Acquisition</w:t>
            </w:r>
          </w:p>
        </w:tc>
        <w:tc>
          <w:tcPr>
            <w:tcW w:type="dxa" w:w="3200"/>
            <w:tcMar>
              <w:top w:type="dxa" w:w="80"/>
              <w:left w:type="dxa" w:w="120"/>
              <w:bottom w:type="dxa" w:w="80"/>
              <w:right w:type="dxa" w:w="120"/>
            </w:tcMar>
          </w:tcPr>
          <w:p>
            <w:r>
              <w:rPr>
                <w:b w:val="false"/>
                <w:bCs w:val="false"/>
                <w:color w:val="000000"/>
                <w:sz w:val="20"/>
                <w:szCs w:val="20"/>
              </w:rPr>
              <w:t xml:space="preserve">james.okoye [at] zava.com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Zava Ltd.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2026-08-10T07:30:31.255Z</dcterms:created>
  <dcterms:modified xsi:type="dcterms:W3CDTF">2026-08-10T07:30:31.255Z</dcterms:modified>
</cp:coreProperties>
</file>

<file path=docProps/custom.xml><?xml version="1.0" encoding="utf-8"?>
<Properties xmlns="http://schemas.openxmlformats.org/officeDocument/2006/custom-properties" xmlns:vt="http://schemas.openxmlformats.org/officeDocument/2006/docPropsVTypes"/>
</file>