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30"/>
          <w:szCs w:val="30"/>
        </w:rPr>
        <w:t xml:space="preserve">Zava Ltd.</w:t>
      </w:r>
    </w:p>
    <w:p>
      <w:pPr>
        <w:spacing w:after="600"/>
      </w:pPr>
      <w:r>
        <w:rPr>
          <w:b/>
          <w:bCs/>
          <w:color w:val="1F3864"/>
          <w:sz w:val="56"/>
          <w:szCs w:val="56"/>
        </w:rPr>
        <w:t xml:space="preserve">Finance Policy</w:t>
      </w:r>
    </w:p>
    <w:p>
      <w:pPr>
        <w:spacing w:after="1600"/>
      </w:pPr>
      <w:r>
        <w:rPr>
          <w:i/>
          <w:iCs/>
          <w:color w:val="595959"/>
          <w:sz w:val="26"/>
          <w:szCs w:val="26"/>
        </w:rPr>
        <w:t xml:space="preserve">Expense, Procurement &amp; Financial Controls Handbook</w:t>
      </w:r>
    </w:p>
    <w:p>
      <w:pPr>
        <w:spacing w:after="80"/>
      </w:pPr>
      <w:r>
        <w:rPr>
          <w:b/>
          <w:bCs/>
          <w:color w:val="1F3864"/>
          <w:sz w:val="22"/>
          <w:szCs w:val="22"/>
        </w:rPr>
        <w:t xml:space="preserve">Document Owner:  </w:t>
      </w:r>
      <w:r>
        <w:rPr>
          <w:sz w:val="22"/>
          <w:szCs w:val="22"/>
        </w:rPr>
        <w:t xml:space="preserve">Office of the CFO</w:t>
      </w:r>
    </w:p>
    <w:p>
      <w:pPr>
        <w:spacing w:after="80"/>
      </w:pPr>
      <w:r>
        <w:rPr>
          <w:b/>
          <w:bCs/>
          <w:color w:val="1F3864"/>
          <w:sz w:val="22"/>
          <w:szCs w:val="22"/>
        </w:rPr>
        <w:t xml:space="preserve">Applies To:  </w:t>
      </w:r>
      <w:r>
        <w:rPr>
          <w:sz w:val="22"/>
          <w:szCs w:val="22"/>
        </w:rPr>
        <w:t xml:space="preserve">All Zava employees with spending or approval authority</w:t>
      </w:r>
    </w:p>
    <w:p>
      <w:pPr>
        <w:spacing w:after="80"/>
      </w:pPr>
      <w:r>
        <w:rPr>
          <w:b/>
          <w:bCs/>
          <w:color w:val="1F3864"/>
          <w:sz w:val="22"/>
          <w:szCs w:val="22"/>
        </w:rPr>
        <w:t xml:space="preserve">Version:  </w:t>
      </w:r>
      <w:r>
        <w:rPr>
          <w:sz w:val="22"/>
          <w:szCs w:val="22"/>
        </w:rPr>
        <w:t xml:space="preserve">3.1</w:t>
      </w:r>
    </w:p>
    <w:p>
      <w:pPr>
        <w:spacing w:after="80"/>
      </w:pPr>
      <w:r>
        <w:rPr>
          <w:b/>
          <w:bCs/>
          <w:color w:val="1F3864"/>
          <w:sz w:val="22"/>
          <w:szCs w:val="22"/>
        </w:rPr>
        <w:t xml:space="preserve">Effective Date:  </w:t>
      </w:r>
      <w:r>
        <w:rPr>
          <w:sz w:val="22"/>
          <w:szCs w:val="22"/>
        </w:rPr>
        <w:t xml:space="preserve">01 April 2026</w:t>
      </w:r>
    </w:p>
    <w:p>
      <w:pPr>
        <w:spacing w:after="80"/>
      </w:pPr>
      <w:r>
        <w:rPr>
          <w:b/>
          <w:bCs/>
          <w:color w:val="1F3864"/>
          <w:sz w:val="22"/>
          <w:szCs w:val="22"/>
        </w:rPr>
        <w:t xml:space="preserve">Review Cycle:  </w:t>
      </w:r>
      <w:r>
        <w:rPr>
          <w:sz w:val="22"/>
          <w:szCs w:val="22"/>
        </w:rPr>
        <w:t xml:space="preserve">Annual</w:t>
      </w:r>
    </w:p>
    <w:p>
      <w:r>
        <w:br w:type="page"/>
      </w:r>
    </w:p>
    <w:p>
      <w:pPr>
        <w:pStyle w:val="Heading1"/>
        <w:pBdr>
          <w:bottom w:val="single" w:color="2E5A9E" w:sz="8" w:space="4"/>
        </w:pBdr>
        <w:spacing w:after="200" w:before="360"/>
      </w:pPr>
      <w:r>
        <w:rPr>
          <w:b/>
          <w:bCs/>
          <w:color w:val="1F3864"/>
          <w:sz w:val="30"/>
          <w:szCs w:val="30"/>
        </w:rPr>
        <w:t xml:space="preserve">1. Purpose and Scope</w:t>
      </w:r>
    </w:p>
    <w:p>
      <w:pPr>
        <w:spacing w:after="160"/>
      </w:pPr>
      <w:r>
        <w:rPr>
          <w:sz w:val="22"/>
          <w:szCs w:val="22"/>
        </w:rPr>
        <w:t xml:space="preserve">This Finance Policy sets out the rules governing how Zava Ltd. employees incur, approve, and report business expenditure. It covers expense reimbursement, travel, procurement, invoicing, and budget management. It applies to all employees, contractors, and managers who spend company funds or approve spending on behalf of others.</w:t>
      </w:r>
    </w:p>
    <w:p>
      <w:pPr>
        <w:pStyle w:val="Heading1"/>
        <w:pBdr>
          <w:bottom w:val="single" w:color="2E5A9E" w:sz="8" w:space="4"/>
        </w:pBdr>
        <w:spacing w:after="200" w:before="360"/>
      </w:pPr>
      <w:r>
        <w:rPr>
          <w:b/>
          <w:bCs/>
          <w:color w:val="1F3864"/>
          <w:sz w:val="30"/>
          <w:szCs w:val="30"/>
        </w:rPr>
        <w:t xml:space="preserve">2. Expense Reimbursement</w:t>
      </w:r>
    </w:p>
    <w:p>
      <w:pPr>
        <w:spacing w:after="160"/>
      </w:pPr>
      <w:r>
        <w:rPr>
          <w:sz w:val="22"/>
          <w:szCs w:val="22"/>
        </w:rPr>
        <w:t xml:space="preserve">Employees may claim reimbursement for reasonable, business-related expenses incurred while performing their duties. All claims must be submitted through the Expense Portal within 30 days of the expense being incurred, with an itemized receipt attached for any single item over $25.</w:t>
      </w:r>
    </w:p>
    <w:p>
      <w:pPr>
        <w:pStyle w:val="ListParagraph"/>
        <w:numPr>
          <w:ilvl w:val="0"/>
          <w:numId w:val="2"/>
        </w:numPr>
        <w:spacing w:after="80"/>
      </w:pPr>
      <w:r>
        <w:rPr>
          <w:sz w:val="22"/>
          <w:szCs w:val="22"/>
        </w:rPr>
        <w:t xml:space="preserve">Meals: up to $60/day for domestic travel, up to $90/day for international travel.</w:t>
      </w:r>
    </w:p>
    <w:p>
      <w:pPr>
        <w:pStyle w:val="ListParagraph"/>
        <w:numPr>
          <w:ilvl w:val="0"/>
          <w:numId w:val="2"/>
        </w:numPr>
        <w:spacing w:after="80"/>
      </w:pPr>
      <w:r>
        <w:rPr>
          <w:sz w:val="22"/>
          <w:szCs w:val="22"/>
        </w:rPr>
        <w:t xml:space="preserve">Ground transportation: economy taxi, rideshare, or public transit; mileage reimbursed at the current statutory rate for personal vehicle use.</w:t>
      </w:r>
    </w:p>
    <w:p>
      <w:pPr>
        <w:pStyle w:val="ListParagraph"/>
        <w:numPr>
          <w:ilvl w:val="0"/>
          <w:numId w:val="2"/>
        </w:numPr>
        <w:spacing w:after="80"/>
      </w:pPr>
      <w:r>
        <w:rPr>
          <w:sz w:val="22"/>
          <w:szCs w:val="22"/>
        </w:rPr>
        <w:t xml:space="preserve">Client entertainment: pre-approval required from department manager for any single event over $200.</w:t>
      </w:r>
    </w:p>
    <w:p>
      <w:pPr>
        <w:pStyle w:val="ListParagraph"/>
        <w:numPr>
          <w:ilvl w:val="0"/>
          <w:numId w:val="2"/>
        </w:numPr>
        <w:spacing w:after="80"/>
      </w:pPr>
      <w:r>
        <w:rPr>
          <w:sz w:val="22"/>
          <w:szCs w:val="22"/>
        </w:rPr>
        <w:t xml:space="preserve">Non-reimbursable: personal entertainment, traffic/parking fines, spa or gym charges, alcohol beyond a reasonable client-dinner allowance.</w:t>
      </w:r>
    </w:p>
    <w:p>
      <w:pPr>
        <w:pStyle w:val="Heading1"/>
        <w:pBdr>
          <w:bottom w:val="single" w:color="2E5A9E" w:sz="8" w:space="4"/>
        </w:pBdr>
        <w:spacing w:after="200" w:before="360"/>
      </w:pPr>
      <w:r>
        <w:rPr>
          <w:b/>
          <w:bCs/>
          <w:color w:val="1F3864"/>
          <w:sz w:val="30"/>
          <w:szCs w:val="30"/>
        </w:rPr>
        <w:t xml:space="preserve">3. Approval Thresholds</w:t>
      </w:r>
    </w:p>
    <w:p>
      <w:pPr>
        <w:spacing w:after="160"/>
      </w:pPr>
      <w:r>
        <w:rPr>
          <w:sz w:val="22"/>
          <w:szCs w:val="22"/>
        </w:rPr>
        <w:t xml:space="preserve">All expenditure requires approval before or immediately after the spend, depending on category. The table below defines standard approval thresholds for expense and purchase requests.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700"/>
      </w:tblGrid>
      <w:tr>
        <w:trPr>
          <w:tblHeader/>
        </w:trPr>
        <w:tc>
          <w:tcPr>
            <w:tcW w:type="dxa" w:w="3400"/>
            <w:shd w:fill="2E5A9E" w:val="clear"/>
            <w:tcMar>
              <w:top w:type="dxa" w:w="80"/>
              <w:left w:type="dxa" w:w="120"/>
              <w:bottom w:type="dxa" w:w="80"/>
              <w:right w:type="dxa" w:w="120"/>
            </w:tcMar>
          </w:tcPr>
          <w:p>
            <w:r>
              <w:rPr>
                <w:b/>
                <w:bCs/>
                <w:color w:val="FFFFFF"/>
                <w:sz w:val="20"/>
                <w:szCs w:val="20"/>
              </w:rPr>
              <w:t xml:space="preserve">Spend Amount (USD)</w:t>
            </w:r>
          </w:p>
        </w:tc>
        <w:tc>
          <w:tcPr>
            <w:tcW w:type="dxa" w:w="3400"/>
            <w:shd w:fill="2E5A9E" w:val="clear"/>
            <w:tcMar>
              <w:top w:type="dxa" w:w="80"/>
              <w:left w:type="dxa" w:w="120"/>
              <w:bottom w:type="dxa" w:w="80"/>
              <w:right w:type="dxa" w:w="120"/>
            </w:tcMar>
          </w:tcPr>
          <w:p>
            <w:r>
              <w:rPr>
                <w:b/>
                <w:bCs/>
                <w:color w:val="FFFFFF"/>
                <w:sz w:val="20"/>
                <w:szCs w:val="20"/>
              </w:rPr>
              <w:t xml:space="preserve">Approver Required</w:t>
            </w:r>
          </w:p>
        </w:tc>
        <w:tc>
          <w:tcPr>
            <w:tcW w:type="dxa" w:w="2700"/>
            <w:shd w:fill="2E5A9E" w:val="clear"/>
            <w:tcMar>
              <w:top w:type="dxa" w:w="80"/>
              <w:left w:type="dxa" w:w="120"/>
              <w:bottom w:type="dxa" w:w="80"/>
              <w:right w:type="dxa" w:w="120"/>
            </w:tcMar>
          </w:tcPr>
          <w:p>
            <w:r>
              <w:rPr>
                <w:b/>
                <w:bCs/>
                <w:color w:val="FFFFFF"/>
                <w:sz w:val="20"/>
                <w:szCs w:val="20"/>
              </w:rPr>
              <w:t xml:space="preserve">Turnaround Target</w:t>
            </w:r>
          </w:p>
        </w:tc>
      </w:tr>
      <w:tr>
        <w:tc>
          <w:tcPr>
            <w:tcW w:type="dxa" w:w="3400"/>
            <w:tcMar>
              <w:top w:type="dxa" w:w="80"/>
              <w:left w:type="dxa" w:w="120"/>
              <w:bottom w:type="dxa" w:w="80"/>
              <w:right w:type="dxa" w:w="120"/>
            </w:tcMar>
          </w:tcPr>
          <w:p>
            <w:r>
              <w:rPr>
                <w:b w:val="false"/>
                <w:bCs w:val="false"/>
                <w:color w:val="000000"/>
                <w:sz w:val="20"/>
                <w:szCs w:val="20"/>
              </w:rPr>
              <w:t xml:space="preserve">Up to $500</w:t>
            </w:r>
          </w:p>
        </w:tc>
        <w:tc>
          <w:tcPr>
            <w:tcW w:type="dxa" w:w="3400"/>
            <w:tcMar>
              <w:top w:type="dxa" w:w="80"/>
              <w:left w:type="dxa" w:w="120"/>
              <w:bottom w:type="dxa" w:w="80"/>
              <w:right w:type="dxa" w:w="120"/>
            </w:tcMar>
          </w:tcPr>
          <w:p>
            <w:r>
              <w:rPr>
                <w:b w:val="false"/>
                <w:bCs w:val="false"/>
                <w:color w:val="000000"/>
                <w:sz w:val="20"/>
                <w:szCs w:val="20"/>
              </w:rPr>
              <w:t xml:space="preserve">Direct Manager</w:t>
            </w:r>
          </w:p>
        </w:tc>
        <w:tc>
          <w:tcPr>
            <w:tcW w:type="dxa" w:w="2700"/>
            <w:tcMar>
              <w:top w:type="dxa" w:w="80"/>
              <w:left w:type="dxa" w:w="120"/>
              <w:bottom w:type="dxa" w:w="80"/>
              <w:right w:type="dxa" w:w="120"/>
            </w:tcMar>
          </w:tcPr>
          <w:p>
            <w:r>
              <w:rPr>
                <w:b w:val="false"/>
                <w:bCs w:val="false"/>
                <w:color w:val="000000"/>
                <w:sz w:val="20"/>
                <w:szCs w:val="20"/>
              </w:rPr>
              <w:t xml:space="preserve">2 business days</w:t>
            </w:r>
          </w:p>
        </w:tc>
      </w:tr>
      <w:tr>
        <w:tc>
          <w:tcPr>
            <w:tcW w:type="dxa" w:w="3400"/>
            <w:tcMar>
              <w:top w:type="dxa" w:w="80"/>
              <w:left w:type="dxa" w:w="120"/>
              <w:bottom w:type="dxa" w:w="80"/>
              <w:right w:type="dxa" w:w="120"/>
            </w:tcMar>
          </w:tcPr>
          <w:p>
            <w:r>
              <w:rPr>
                <w:b w:val="false"/>
                <w:bCs w:val="false"/>
                <w:color w:val="000000"/>
                <w:sz w:val="20"/>
                <w:szCs w:val="20"/>
              </w:rPr>
              <w:t xml:space="preserve">$501 – $5,000</w:t>
            </w:r>
          </w:p>
        </w:tc>
        <w:tc>
          <w:tcPr>
            <w:tcW w:type="dxa" w:w="3400"/>
            <w:tcMar>
              <w:top w:type="dxa" w:w="80"/>
              <w:left w:type="dxa" w:w="120"/>
              <w:bottom w:type="dxa" w:w="80"/>
              <w:right w:type="dxa" w:w="120"/>
            </w:tcMar>
          </w:tcPr>
          <w:p>
            <w:r>
              <w:rPr>
                <w:b w:val="false"/>
                <w:bCs w:val="false"/>
                <w:color w:val="000000"/>
                <w:sz w:val="20"/>
                <w:szCs w:val="20"/>
              </w:rPr>
              <w:t xml:space="preserve">Department Head</w:t>
            </w:r>
          </w:p>
        </w:tc>
        <w:tc>
          <w:tcPr>
            <w:tcW w:type="dxa" w:w="2700"/>
            <w:tcMar>
              <w:top w:type="dxa" w:w="80"/>
              <w:left w:type="dxa" w:w="120"/>
              <w:bottom w:type="dxa" w:w="80"/>
              <w:right w:type="dxa" w:w="120"/>
            </w:tcMar>
          </w:tcPr>
          <w:p>
            <w:r>
              <w:rPr>
                <w:b w:val="false"/>
                <w:bCs w:val="false"/>
                <w:color w:val="000000"/>
                <w:sz w:val="20"/>
                <w:szCs w:val="20"/>
              </w:rPr>
              <w:t xml:space="preserve">3 business days</w:t>
            </w:r>
          </w:p>
        </w:tc>
      </w:tr>
      <w:tr>
        <w:tc>
          <w:tcPr>
            <w:tcW w:type="dxa" w:w="3400"/>
            <w:tcMar>
              <w:top w:type="dxa" w:w="80"/>
              <w:left w:type="dxa" w:w="120"/>
              <w:bottom w:type="dxa" w:w="80"/>
              <w:right w:type="dxa" w:w="120"/>
            </w:tcMar>
          </w:tcPr>
          <w:p>
            <w:r>
              <w:rPr>
                <w:b w:val="false"/>
                <w:bCs w:val="false"/>
                <w:color w:val="000000"/>
                <w:sz w:val="20"/>
                <w:szCs w:val="20"/>
              </w:rPr>
              <w:t xml:space="preserve">$5,001 – $50,000</w:t>
            </w:r>
          </w:p>
        </w:tc>
        <w:tc>
          <w:tcPr>
            <w:tcW w:type="dxa" w:w="3400"/>
            <w:tcMar>
              <w:top w:type="dxa" w:w="80"/>
              <w:left w:type="dxa" w:w="120"/>
              <w:bottom w:type="dxa" w:w="80"/>
              <w:right w:type="dxa" w:w="120"/>
            </w:tcMar>
          </w:tcPr>
          <w:p>
            <w:r>
              <w:rPr>
                <w:b w:val="false"/>
                <w:bCs w:val="false"/>
                <w:color w:val="000000"/>
                <w:sz w:val="20"/>
                <w:szCs w:val="20"/>
              </w:rPr>
              <w:t xml:space="preserve">Finance Business Partner + Department Head</w:t>
            </w:r>
          </w:p>
        </w:tc>
        <w:tc>
          <w:tcPr>
            <w:tcW w:type="dxa" w:w="2700"/>
            <w:tcMar>
              <w:top w:type="dxa" w:w="80"/>
              <w:left w:type="dxa" w:w="120"/>
              <w:bottom w:type="dxa" w:w="80"/>
              <w:right w:type="dxa" w:w="120"/>
            </w:tcMar>
          </w:tcPr>
          <w:p>
            <w:r>
              <w:rPr>
                <w:b w:val="false"/>
                <w:bCs w:val="false"/>
                <w:color w:val="000000"/>
                <w:sz w:val="20"/>
                <w:szCs w:val="20"/>
              </w:rPr>
              <w:t xml:space="preserve">5 business days</w:t>
            </w:r>
          </w:p>
        </w:tc>
      </w:tr>
      <w:tr>
        <w:tc>
          <w:tcPr>
            <w:tcW w:type="dxa" w:w="3400"/>
            <w:tcMar>
              <w:top w:type="dxa" w:w="80"/>
              <w:left w:type="dxa" w:w="120"/>
              <w:bottom w:type="dxa" w:w="80"/>
              <w:right w:type="dxa" w:w="120"/>
            </w:tcMar>
          </w:tcPr>
          <w:p>
            <w:r>
              <w:rPr>
                <w:b w:val="false"/>
                <w:bCs w:val="false"/>
                <w:color w:val="000000"/>
                <w:sz w:val="20"/>
                <w:szCs w:val="20"/>
              </w:rPr>
              <w:t xml:space="preserve">Above $50,000</w:t>
            </w:r>
          </w:p>
        </w:tc>
        <w:tc>
          <w:tcPr>
            <w:tcW w:type="dxa" w:w="3400"/>
            <w:tcMar>
              <w:top w:type="dxa" w:w="80"/>
              <w:left w:type="dxa" w:w="120"/>
              <w:bottom w:type="dxa" w:w="80"/>
              <w:right w:type="dxa" w:w="120"/>
            </w:tcMar>
          </w:tcPr>
          <w:p>
            <w:r>
              <w:rPr>
                <w:b w:val="false"/>
                <w:bCs w:val="false"/>
                <w:color w:val="000000"/>
                <w:sz w:val="20"/>
                <w:szCs w:val="20"/>
              </w:rPr>
              <w:t xml:space="preserve">CFO or Finance Steering Committee</w:t>
            </w:r>
          </w:p>
        </w:tc>
        <w:tc>
          <w:tcPr>
            <w:tcW w:type="dxa" w:w="2700"/>
            <w:tcMar>
              <w:top w:type="dxa" w:w="80"/>
              <w:left w:type="dxa" w:w="120"/>
              <w:bottom w:type="dxa" w:w="80"/>
              <w:right w:type="dxa" w:w="120"/>
            </w:tcMar>
          </w:tcPr>
          <w:p>
            <w:r>
              <w:rPr>
                <w:b w:val="false"/>
                <w:bCs w:val="false"/>
                <w:color w:val="000000"/>
                <w:sz w:val="20"/>
                <w:szCs w:val="20"/>
              </w:rPr>
              <w:t xml:space="preserve">10 business days</w:t>
            </w:r>
          </w:p>
        </w:tc>
      </w:tr>
    </w:tbl>
    <w:p>
      <w:pPr>
        <w:pStyle w:val="Heading1"/>
        <w:pBdr>
          <w:bottom w:val="single" w:color="2E5A9E" w:sz="8" w:space="4"/>
        </w:pBdr>
        <w:spacing w:after="200" w:before="360"/>
      </w:pPr>
      <w:r>
        <w:rPr>
          <w:b/>
          <w:bCs/>
          <w:color w:val="1F3864"/>
          <w:sz w:val="30"/>
          <w:szCs w:val="30"/>
        </w:rPr>
        <w:t xml:space="preserve">4. Gifts, Hospitality, and Client Entertainment</w:t>
      </w:r>
    </w:p>
    <w:p>
      <w:pPr>
        <w:spacing w:after="160"/>
      </w:pPr>
      <w:r>
        <w:rPr>
          <w:sz w:val="22"/>
          <w:szCs w:val="22"/>
        </w:rPr>
        <w:t xml:space="preserve">Gifts or hospitality extended to or received from clients, vendors, or partners must remain modest and clearly business-purposed. Any single gift or hospitality item exceeding $150 in value must be logged in the Gifts &amp; Hospitality Register and cross-referenced with the Legal Guidelines, Section 6 (Anti-Bribery and Corruption).</w:t>
      </w:r>
    </w:p>
    <w:p>
      <w:pPr>
        <w:pStyle w:val="Heading1"/>
        <w:pBdr>
          <w:bottom w:val="single" w:color="2E5A9E" w:sz="8" w:space="4"/>
        </w:pBdr>
        <w:spacing w:after="200" w:before="360"/>
      </w:pPr>
      <w:r>
        <w:rPr>
          <w:b/>
          <w:bCs/>
          <w:color w:val="1F3864"/>
          <w:sz w:val="30"/>
          <w:szCs w:val="30"/>
        </w:rPr>
        <w:t xml:space="preserve">5. Travel Policy</w:t>
      </w:r>
    </w:p>
    <w:p>
      <w:pPr>
        <w:pStyle w:val="Heading2"/>
        <w:spacing w:after="140" w:before="260"/>
      </w:pPr>
      <w:r>
        <w:rPr>
          <w:b/>
          <w:bCs/>
          <w:color w:val="2E5A9E"/>
          <w:sz w:val="24"/>
          <w:szCs w:val="24"/>
        </w:rPr>
        <w:t xml:space="preserve">5.1 Booking</w:t>
      </w:r>
    </w:p>
    <w:p>
      <w:pPr>
        <w:spacing w:after="160"/>
      </w:pPr>
      <w:r>
        <w:rPr>
          <w:sz w:val="22"/>
          <w:szCs w:val="22"/>
        </w:rPr>
        <w:t xml:space="preserve">All flights, hotels, and rental cars must be booked through the approved corporate travel platform to ensure duty-of-care coverage and negotiated rates. Economy class is standard for flights under 6 hours; premium economy is permitted for flights over 6 hours with manager approval.</w:t>
      </w:r>
    </w:p>
    <w:p>
      <w:pPr>
        <w:pStyle w:val="Heading2"/>
        <w:spacing w:after="140" w:before="260"/>
      </w:pPr>
      <w:r>
        <w:rPr>
          <w:b/>
          <w:bCs/>
          <w:color w:val="2E5A9E"/>
          <w:sz w:val="24"/>
          <w:szCs w:val="24"/>
        </w:rPr>
        <w:t xml:space="preserve">5.2 Per Diem and Advances</w:t>
      </w:r>
    </w:p>
    <w:p>
      <w:pPr>
        <w:spacing w:after="160"/>
      </w:pPr>
      <w:r>
        <w:rPr>
          <w:sz w:val="22"/>
          <w:szCs w:val="22"/>
        </w:rPr>
        <w:t xml:space="preserve">Employees traveling internationally may request a travel advance of up to $500 through the Finance Portal, to be reconciled with actual receipts within 10 business days of return.</w:t>
      </w:r>
    </w:p>
    <w:p>
      <w:pPr>
        <w:pStyle w:val="Heading1"/>
        <w:pBdr>
          <w:bottom w:val="single" w:color="2E5A9E" w:sz="8" w:space="4"/>
        </w:pBdr>
        <w:spacing w:after="200" w:before="360"/>
      </w:pPr>
      <w:r>
        <w:rPr>
          <w:b/>
          <w:bCs/>
          <w:color w:val="1F3864"/>
          <w:sz w:val="30"/>
          <w:szCs w:val="30"/>
        </w:rPr>
        <w:t xml:space="preserve">6. Procurement</w:t>
      </w:r>
    </w:p>
    <w:p>
      <w:pPr>
        <w:spacing w:after="160"/>
      </w:pPr>
      <w:r>
        <w:rPr>
          <w:sz w:val="22"/>
          <w:szCs w:val="22"/>
        </w:rPr>
        <w:t xml:space="preserve">All purchases of goods and services above $1,000 must go through the Procurement team via a Purchase Requisition, regardless of whether a preferred vendor already exists. Procurement will:</w:t>
      </w:r>
    </w:p>
    <w:p>
      <w:pPr>
        <w:pStyle w:val="ListParagraph"/>
        <w:numPr>
          <w:ilvl w:val="0"/>
          <w:numId w:val="2"/>
        </w:numPr>
        <w:spacing w:after="80"/>
      </w:pPr>
      <w:r>
        <w:rPr>
          <w:sz w:val="22"/>
          <w:szCs w:val="22"/>
        </w:rPr>
        <w:t xml:space="preserve">Confirm the vendor is on the Approved Vendor List or initiate vendor onboarding and due diligence.</w:t>
      </w:r>
    </w:p>
    <w:p>
      <w:pPr>
        <w:pStyle w:val="ListParagraph"/>
        <w:numPr>
          <w:ilvl w:val="0"/>
          <w:numId w:val="2"/>
        </w:numPr>
        <w:spacing w:after="80"/>
      </w:pPr>
      <w:r>
        <w:rPr>
          <w:sz w:val="22"/>
          <w:szCs w:val="22"/>
        </w:rPr>
        <w:t xml:space="preserve">Route the requisition through the appropriate approval chain per Section 3.</w:t>
      </w:r>
    </w:p>
    <w:p>
      <w:pPr>
        <w:pStyle w:val="ListParagraph"/>
        <w:numPr>
          <w:ilvl w:val="0"/>
          <w:numId w:val="2"/>
        </w:numPr>
        <w:spacing w:after="80"/>
      </w:pPr>
      <w:r>
        <w:rPr>
          <w:sz w:val="22"/>
          <w:szCs w:val="22"/>
        </w:rPr>
        <w:t xml:space="preserve">Issue a Purchase Order before any commitment is made to the vendor.</w:t>
      </w:r>
    </w:p>
    <w:p>
      <w:pPr>
        <w:spacing w:after="160"/>
      </w:pPr>
      <w:r>
        <w:rPr>
          <w:sz w:val="22"/>
          <w:szCs w:val="22"/>
        </w:rPr>
        <w:t xml:space="preserve">Splitting a purchase into multiple smaller transactions to stay under an approval threshold is prohibited and treated as a policy violation.</w:t>
      </w:r>
    </w:p>
    <w:p>
      <w:pPr>
        <w:pStyle w:val="Heading1"/>
        <w:pBdr>
          <w:bottom w:val="single" w:color="2E5A9E" w:sz="8" w:space="4"/>
        </w:pBdr>
        <w:spacing w:after="200" w:before="360"/>
      </w:pPr>
      <w:r>
        <w:rPr>
          <w:b/>
          <w:bCs/>
          <w:color w:val="1F3864"/>
          <w:sz w:val="30"/>
          <w:szCs w:val="30"/>
        </w:rPr>
        <w:t xml:space="preserve">7. Invoicing and Payment Terms</w:t>
      </w:r>
    </w:p>
    <w:p>
      <w:pPr>
        <w:spacing w:after="160"/>
      </w:pPr>
      <w:r>
        <w:rPr>
          <w:sz w:val="22"/>
          <w:szCs w:val="22"/>
        </w:rPr>
        <w:t xml:space="preserve">Standard payment terms for Zava vendors are Net 30 from the date of a valid, PO-matched invoice. Invoices should be submitted to accounts.payable [at] zava.com and must reference a valid Purchase Order number. Payment terms outside the standard range require Finance Director approval.</w:t>
      </w:r>
    </w:p>
    <w:p>
      <w:pPr>
        <w:pStyle w:val="Heading1"/>
        <w:pBdr>
          <w:bottom w:val="single" w:color="2E5A9E" w:sz="8" w:space="4"/>
        </w:pBdr>
        <w:spacing w:after="200" w:before="360"/>
      </w:pPr>
      <w:r>
        <w:rPr>
          <w:b/>
          <w:bCs/>
          <w:color w:val="1F3864"/>
          <w:sz w:val="30"/>
          <w:szCs w:val="30"/>
        </w:rPr>
        <w:t xml:space="preserve">8. Budget Management</w:t>
      </w:r>
    </w:p>
    <w:p>
      <w:pPr>
        <w:spacing w:after="160"/>
      </w:pPr>
      <w:r>
        <w:rPr>
          <w:sz w:val="22"/>
          <w:szCs w:val="22"/>
        </w:rPr>
        <w:t xml:space="preserve">Department heads own their annual operating budget and are responsible for monthly variance review. Any projected overspend greater than 10% against the quarterly forecast must be flagged to the Finance Business Partner immediately, along with a remediation plan.</w:t>
      </w:r>
    </w:p>
    <w:p>
      <w:pPr>
        <w:pStyle w:val="Heading1"/>
        <w:pBdr>
          <w:bottom w:val="single" w:color="2E5A9E" w:sz="8" w:space="4"/>
        </w:pBdr>
        <w:spacing w:after="200" w:before="360"/>
      </w:pPr>
      <w:r>
        <w:rPr>
          <w:b/>
          <w:bCs/>
          <w:color w:val="1F3864"/>
          <w:sz w:val="30"/>
          <w:szCs w:val="30"/>
        </w:rPr>
        <w:t xml:space="preserve">9. Financial Reporting and Controls</w:t>
      </w:r>
    </w:p>
    <w:p>
      <w:pPr>
        <w:spacing w:after="160"/>
      </w:pPr>
      <w:r>
        <w:rPr>
          <w:sz w:val="22"/>
          <w:szCs w:val="22"/>
        </w:rPr>
        <w:t xml:space="preserve">Zava maintains a system of internal controls to ensure the accuracy and integrity of its financial statements, consistent with applicable accounting standards. Employees involved in financial reporting must:</w:t>
      </w:r>
    </w:p>
    <w:p>
      <w:pPr>
        <w:pStyle w:val="ListParagraph"/>
        <w:numPr>
          <w:ilvl w:val="0"/>
          <w:numId w:val="2"/>
        </w:numPr>
        <w:spacing w:after="80"/>
      </w:pPr>
      <w:r>
        <w:rPr>
          <w:sz w:val="22"/>
          <w:szCs w:val="22"/>
        </w:rPr>
        <w:t xml:space="preserve">Never record revenue or expenses outside the period in which they were actually earned or incurred.</w:t>
      </w:r>
    </w:p>
    <w:p>
      <w:pPr>
        <w:pStyle w:val="ListParagraph"/>
        <w:numPr>
          <w:ilvl w:val="0"/>
          <w:numId w:val="2"/>
        </w:numPr>
        <w:spacing w:after="80"/>
      </w:pPr>
      <w:r>
        <w:rPr>
          <w:sz w:val="22"/>
          <w:szCs w:val="22"/>
        </w:rPr>
        <w:t xml:space="preserve">Escalate any suspected accounting irregularity to Internal Audit immediately.</w:t>
      </w:r>
    </w:p>
    <w:p>
      <w:pPr>
        <w:pStyle w:val="ListParagraph"/>
        <w:numPr>
          <w:ilvl w:val="0"/>
          <w:numId w:val="2"/>
        </w:numPr>
        <w:spacing w:after="80"/>
      </w:pPr>
      <w:r>
        <w:rPr>
          <w:sz w:val="22"/>
          <w:szCs w:val="22"/>
        </w:rPr>
        <w:t xml:space="preserve">Retain financial records per the Records Retention Schedule (minimum 7 years for tax-relevant documents).</w:t>
      </w:r>
    </w:p>
    <w:p>
      <w:pPr>
        <w:pStyle w:val="Heading1"/>
        <w:pBdr>
          <w:bottom w:val="single" w:color="2E5A9E" w:sz="8" w:space="4"/>
        </w:pBdr>
        <w:spacing w:after="200" w:before="360"/>
      </w:pPr>
      <w:r>
        <w:rPr>
          <w:b/>
          <w:bCs/>
          <w:color w:val="1F3864"/>
          <w:sz w:val="30"/>
          <w:szCs w:val="30"/>
        </w:rPr>
        <w:t xml:space="preserve">10. Contacts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2E5A9E" w:val="clear"/>
            <w:tcMar>
              <w:top w:type="dxa" w:w="80"/>
              <w:left w:type="dxa" w:w="120"/>
              <w:bottom w:type="dxa" w:w="80"/>
              <w:right w:type="dxa" w:w="120"/>
            </w:tcMar>
          </w:tcPr>
          <w:p>
            <w:r>
              <w:rPr>
                <w:b/>
                <w:bCs/>
                <w:color w:val="FFFFFF"/>
                <w:sz w:val="20"/>
                <w:szCs w:val="20"/>
              </w:rPr>
              <w:t xml:space="preserve">Team</w:t>
            </w:r>
          </w:p>
        </w:tc>
        <w:tc>
          <w:tcPr>
            <w:tcW w:type="dxa" w:w="3200"/>
            <w:shd w:fill="2E5A9E" w:val="clear"/>
            <w:tcMar>
              <w:top w:type="dxa" w:w="80"/>
              <w:left w:type="dxa" w:w="120"/>
              <w:bottom w:type="dxa" w:w="80"/>
              <w:right w:type="dxa" w:w="120"/>
            </w:tcMar>
          </w:tcPr>
          <w:p>
            <w:r>
              <w:rPr>
                <w:b/>
                <w:bCs/>
                <w:color w:val="FFFFFF"/>
                <w:sz w:val="20"/>
                <w:szCs w:val="20"/>
              </w:rPr>
              <w:t xml:space="preserve">Contact</w:t>
            </w:r>
          </w:p>
        </w:tc>
        <w:tc>
          <w:tcPr>
            <w:tcW w:type="dxa" w:w="3100"/>
            <w:shd w:fill="2E5A9E" w:val="clear"/>
            <w:tcMar>
              <w:top w:type="dxa" w:w="80"/>
              <w:left w:type="dxa" w:w="120"/>
              <w:bottom w:type="dxa" w:w="80"/>
              <w:right w:type="dxa" w:w="120"/>
            </w:tcMar>
          </w:tcPr>
          <w:p>
            <w:r>
              <w:rPr>
                <w:b/>
                <w:bCs/>
                <w:color w:val="FFFFFF"/>
                <w:sz w:val="20"/>
                <w:szCs w:val="20"/>
              </w:rPr>
              <w:t xml:space="preserve">Email</w:t>
            </w:r>
          </w:p>
        </w:tc>
      </w:tr>
      <w:tr>
        <w:tc>
          <w:tcPr>
            <w:tcW w:type="dxa" w:w="3200"/>
            <w:tcMar>
              <w:top w:type="dxa" w:w="80"/>
              <w:left w:type="dxa" w:w="120"/>
              <w:bottom w:type="dxa" w:w="80"/>
              <w:right w:type="dxa" w:w="120"/>
            </w:tcMar>
          </w:tcPr>
          <w:p>
            <w:r>
              <w:rPr>
                <w:b w:val="false"/>
                <w:bCs w:val="false"/>
                <w:color w:val="000000"/>
                <w:sz w:val="20"/>
                <w:szCs w:val="20"/>
              </w:rPr>
              <w:t xml:space="preserve">Office of the CFO</w:t>
            </w:r>
          </w:p>
        </w:tc>
        <w:tc>
          <w:tcPr>
            <w:tcW w:type="dxa" w:w="3200"/>
            <w:tcMar>
              <w:top w:type="dxa" w:w="80"/>
              <w:left w:type="dxa" w:w="120"/>
              <w:bottom w:type="dxa" w:w="80"/>
              <w:right w:type="dxa" w:w="120"/>
            </w:tcMar>
          </w:tcPr>
          <w:p>
            <w:r>
              <w:rPr>
                <w:b w:val="false"/>
                <w:bCs w:val="false"/>
                <w:color w:val="000000"/>
                <w:sz w:val="20"/>
                <w:szCs w:val="20"/>
              </w:rPr>
              <w:t xml:space="preserve">Daniel Whitfield, CFO</w:t>
            </w:r>
          </w:p>
        </w:tc>
        <w:tc>
          <w:tcPr>
            <w:tcW w:type="dxa" w:w="3100"/>
            <w:tcMar>
              <w:top w:type="dxa" w:w="80"/>
              <w:left w:type="dxa" w:w="120"/>
              <w:bottom w:type="dxa" w:w="80"/>
              <w:right w:type="dxa" w:w="120"/>
            </w:tcMar>
          </w:tcPr>
          <w:p>
            <w:r>
              <w:rPr>
                <w:b w:val="false"/>
                <w:bCs w:val="false"/>
                <w:color w:val="000000"/>
                <w:sz w:val="20"/>
                <w:szCs w:val="20"/>
              </w:rPr>
              <w:t xml:space="preserve">daniel.whitfield [at] zava.com</w:t>
            </w:r>
          </w:p>
        </w:tc>
      </w:tr>
      <w:tr>
        <w:tc>
          <w:tcPr>
            <w:tcW w:type="dxa" w:w="3200"/>
            <w:tcMar>
              <w:top w:type="dxa" w:w="80"/>
              <w:left w:type="dxa" w:w="120"/>
              <w:bottom w:type="dxa" w:w="80"/>
              <w:right w:type="dxa" w:w="120"/>
            </w:tcMar>
          </w:tcPr>
          <w:p>
            <w:r>
              <w:rPr>
                <w:b w:val="false"/>
                <w:bCs w:val="false"/>
                <w:color w:val="000000"/>
                <w:sz w:val="20"/>
                <w:szCs w:val="20"/>
              </w:rPr>
              <w:t xml:space="preserve">Accounts Payable</w:t>
            </w:r>
          </w:p>
        </w:tc>
        <w:tc>
          <w:tcPr>
            <w:tcW w:type="dxa" w:w="3200"/>
            <w:tcMar>
              <w:top w:type="dxa" w:w="80"/>
              <w:left w:type="dxa" w:w="120"/>
              <w:bottom w:type="dxa" w:w="80"/>
              <w:right w:type="dxa" w:w="120"/>
            </w:tcMar>
          </w:tcPr>
          <w:p>
            <w:r>
              <w:rPr>
                <w:b w:val="false"/>
                <w:bCs w:val="false"/>
                <w:color w:val="000000"/>
                <w:sz w:val="20"/>
                <w:szCs w:val="20"/>
              </w:rPr>
              <w:t xml:space="preserve">Grace Lin, AP Manager</w:t>
            </w:r>
          </w:p>
        </w:tc>
        <w:tc>
          <w:tcPr>
            <w:tcW w:type="dxa" w:w="3100"/>
            <w:tcMar>
              <w:top w:type="dxa" w:w="80"/>
              <w:left w:type="dxa" w:w="120"/>
              <w:bottom w:type="dxa" w:w="80"/>
              <w:right w:type="dxa" w:w="120"/>
            </w:tcMar>
          </w:tcPr>
          <w:p>
            <w:r>
              <w:rPr>
                <w:b w:val="false"/>
                <w:bCs w:val="false"/>
                <w:color w:val="000000"/>
                <w:sz w:val="20"/>
                <w:szCs w:val="20"/>
              </w:rPr>
              <w:t xml:space="preserve">grace.lin [at] zava.com</w:t>
            </w:r>
          </w:p>
        </w:tc>
      </w:tr>
      <w:tr>
        <w:tc>
          <w:tcPr>
            <w:tcW w:type="dxa" w:w="3200"/>
            <w:tcMar>
              <w:top w:type="dxa" w:w="80"/>
              <w:left w:type="dxa" w:w="120"/>
              <w:bottom w:type="dxa" w:w="80"/>
              <w:right w:type="dxa" w:w="120"/>
            </w:tcMar>
          </w:tcPr>
          <w:p>
            <w:r>
              <w:rPr>
                <w:b w:val="false"/>
                <w:bCs w:val="false"/>
                <w:color w:val="000000"/>
                <w:sz w:val="20"/>
                <w:szCs w:val="20"/>
              </w:rPr>
              <w:t xml:space="preserve">Procurement</w:t>
            </w:r>
          </w:p>
        </w:tc>
        <w:tc>
          <w:tcPr>
            <w:tcW w:type="dxa" w:w="3200"/>
            <w:tcMar>
              <w:top w:type="dxa" w:w="80"/>
              <w:left w:type="dxa" w:w="120"/>
              <w:bottom w:type="dxa" w:w="80"/>
              <w:right w:type="dxa" w:w="120"/>
            </w:tcMar>
          </w:tcPr>
          <w:p>
            <w:r>
              <w:rPr>
                <w:b w:val="false"/>
                <w:bCs w:val="false"/>
                <w:color w:val="000000"/>
                <w:sz w:val="20"/>
                <w:szCs w:val="20"/>
              </w:rPr>
              <w:t xml:space="preserve">Omar Farouk, Head of Procurement</w:t>
            </w:r>
          </w:p>
        </w:tc>
        <w:tc>
          <w:tcPr>
            <w:tcW w:type="dxa" w:w="3100"/>
            <w:tcMar>
              <w:top w:type="dxa" w:w="80"/>
              <w:left w:type="dxa" w:w="120"/>
              <w:bottom w:type="dxa" w:w="80"/>
              <w:right w:type="dxa" w:w="120"/>
            </w:tcMar>
          </w:tcPr>
          <w:p>
            <w:r>
              <w:rPr>
                <w:b w:val="false"/>
                <w:bCs w:val="false"/>
                <w:color w:val="000000"/>
                <w:sz w:val="20"/>
                <w:szCs w:val="20"/>
              </w:rPr>
              <w:t xml:space="preserve">omar.farouk [at] zava.com</w:t>
            </w:r>
          </w:p>
        </w:tc>
      </w:tr>
      <w:tr>
        <w:tc>
          <w:tcPr>
            <w:tcW w:type="dxa" w:w="3200"/>
            <w:tcMar>
              <w:top w:type="dxa" w:w="80"/>
              <w:left w:type="dxa" w:w="120"/>
              <w:bottom w:type="dxa" w:w="80"/>
              <w:right w:type="dxa" w:w="120"/>
            </w:tcMar>
          </w:tcPr>
          <w:p>
            <w:r>
              <w:rPr>
                <w:b w:val="false"/>
                <w:bCs w:val="false"/>
                <w:color w:val="000000"/>
                <w:sz w:val="20"/>
                <w:szCs w:val="20"/>
              </w:rPr>
              <w:t xml:space="preserve">Internal Audit</w:t>
            </w:r>
          </w:p>
        </w:tc>
        <w:tc>
          <w:tcPr>
            <w:tcW w:type="dxa" w:w="3200"/>
            <w:tcMar>
              <w:top w:type="dxa" w:w="80"/>
              <w:left w:type="dxa" w:w="120"/>
              <w:bottom w:type="dxa" w:w="80"/>
              <w:right w:type="dxa" w:w="120"/>
            </w:tcMar>
          </w:tcPr>
          <w:p>
            <w:r>
              <w:rPr>
                <w:b w:val="false"/>
                <w:bCs w:val="false"/>
                <w:color w:val="000000"/>
                <w:sz w:val="20"/>
                <w:szCs w:val="20"/>
              </w:rPr>
              <w:t xml:space="preserve">Sofia Marchetti, Internal Audit Lead</w:t>
            </w:r>
          </w:p>
        </w:tc>
        <w:tc>
          <w:tcPr>
            <w:tcW w:type="dxa" w:w="3100"/>
            <w:tcMar>
              <w:top w:type="dxa" w:w="80"/>
              <w:left w:type="dxa" w:w="120"/>
              <w:bottom w:type="dxa" w:w="80"/>
              <w:right w:type="dxa" w:w="120"/>
            </w:tcMar>
          </w:tcPr>
          <w:p>
            <w:r>
              <w:rPr>
                <w:b w:val="false"/>
                <w:bCs w:val="false"/>
                <w:color w:val="000000"/>
                <w:sz w:val="20"/>
                <w:szCs w:val="20"/>
              </w:rPr>
              <w:t xml:space="preserve">sofia.marchetti [at] zava.com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Zava Ltd.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4AD471E9-3C31-4571-94A6-6E3A5CC8CFF6}"/>
</file>

<file path=customXml/itemProps2.xml><?xml version="1.0" encoding="utf-8"?>
<ds:datastoreItem xmlns:ds="http://schemas.openxmlformats.org/officeDocument/2006/customXml" ds:itemID="{E5C4EE50-CEFB-4B86-9DC1-0CCF6E2BDEA9}"/>
</file>

<file path=customXml/itemProps3.xml><?xml version="1.0" encoding="utf-8"?>
<ds:datastoreItem xmlns:ds="http://schemas.openxmlformats.org/officeDocument/2006/customXml" ds:itemID="{E7538DBB-513E-4A45-8620-8BDC3E47FBA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2026-08-10T07:30:30Z</dcterms:created>
  <dcterms:modified xsi:type="dcterms:W3CDTF">2026-08-10T07:30:30Z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