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3864"/>
          <w:sz w:val="30"/>
          <w:szCs w:val="30"/>
        </w:rPr>
        <w:t xml:space="preserve">Zava Ltd.</w:t>
      </w:r>
    </w:p>
    <w:p>
      <w:pPr>
        <w:spacing w:after="600"/>
      </w:pPr>
      <w:r>
        <w:rPr>
          <w:b/>
          <w:bCs/>
          <w:color w:val="1F3864"/>
          <w:sz w:val="56"/>
          <w:szCs w:val="56"/>
        </w:rPr>
        <w:t xml:space="preserve">Legal Guidelines</w:t>
      </w:r>
    </w:p>
    <w:p>
      <w:pPr>
        <w:spacing w:after="1600"/>
      </w:pPr>
      <w:r>
        <w:rPr>
          <w:i/>
          <w:iCs/>
          <w:color w:val="595959"/>
          <w:sz w:val="26"/>
          <w:szCs w:val="26"/>
        </w:rPr>
        <w:t xml:space="preserve">Corporate Legal &amp; Compliance Policy</w:t>
      </w:r>
    </w:p>
    <w:p>
      <w:pPr>
        <w:spacing w:after="80"/>
      </w:pPr>
      <w:r>
        <w:rPr>
          <w:b/>
          <w:bCs/>
          <w:color w:val="1F3864"/>
          <w:sz w:val="22"/>
          <w:szCs w:val="22"/>
        </w:rPr>
        <w:t xml:space="preserve">Document Owner:  </w:t>
      </w:r>
      <w:r>
        <w:rPr>
          <w:sz w:val="22"/>
          <w:szCs w:val="22"/>
        </w:rPr>
        <w:t xml:space="preserve">Office of the General Counsel</w:t>
      </w:r>
    </w:p>
    <w:p>
      <w:pPr>
        <w:spacing w:after="80"/>
      </w:pPr>
      <w:r>
        <w:rPr>
          <w:b/>
          <w:bCs/>
          <w:color w:val="1F3864"/>
          <w:sz w:val="22"/>
          <w:szCs w:val="22"/>
        </w:rPr>
        <w:t xml:space="preserve">Applies To:  </w:t>
      </w:r>
      <w:r>
        <w:rPr>
          <w:sz w:val="22"/>
          <w:szCs w:val="22"/>
        </w:rPr>
        <w:t xml:space="preserve">All Zava employees, contractors, and officers</w:t>
      </w:r>
    </w:p>
    <w:p>
      <w:pPr>
        <w:spacing w:after="80"/>
      </w:pPr>
      <w:r>
        <w:rPr>
          <w:b/>
          <w:bCs/>
          <w:color w:val="1F3864"/>
          <w:sz w:val="22"/>
          <w:szCs w:val="22"/>
        </w:rPr>
        <w:t xml:space="preserve">Version:  </w:t>
      </w:r>
      <w:r>
        <w:rPr>
          <w:sz w:val="22"/>
          <w:szCs w:val="22"/>
        </w:rPr>
        <w:t xml:space="preserve">4.2</w:t>
      </w:r>
    </w:p>
    <w:p>
      <w:pPr>
        <w:spacing w:after="80"/>
      </w:pPr>
      <w:r>
        <w:rPr>
          <w:b/>
          <w:bCs/>
          <w:color w:val="1F3864"/>
          <w:sz w:val="22"/>
          <w:szCs w:val="22"/>
        </w:rPr>
        <w:t xml:space="preserve">Effective Date:  </w:t>
      </w:r>
      <w:r>
        <w:rPr>
          <w:sz w:val="22"/>
          <w:szCs w:val="22"/>
        </w:rPr>
        <w:t xml:space="preserve">01 April 2026</w:t>
      </w:r>
    </w:p>
    <w:p>
      <w:pPr>
        <w:spacing w:after="80"/>
      </w:pPr>
      <w:r>
        <w:rPr>
          <w:b/>
          <w:bCs/>
          <w:color w:val="1F3864"/>
          <w:sz w:val="22"/>
          <w:szCs w:val="22"/>
        </w:rPr>
        <w:t xml:space="preserve">Review Cycle:  </w:t>
      </w:r>
      <w:r>
        <w:rPr>
          <w:sz w:val="22"/>
          <w:szCs w:val="22"/>
        </w:rPr>
        <w:t xml:space="preserve">Annual</w:t>
      </w:r>
    </w:p>
    <w:p>
      <w:r>
        <w:br w:type="page"/>
      </w:r>
    </w:p>
    <w:p>
      <w:pPr>
        <w:pStyle w:val="Heading1"/>
        <w:pBdr>
          <w:bottom w:val="single" w:color="2E5A9E" w:sz="8" w:space="4"/>
        </w:pBdr>
        <w:spacing w:after="200" w:before="360"/>
      </w:pPr>
      <w:r>
        <w:rPr>
          <w:b/>
          <w:bCs/>
          <w:color w:val="1F3864"/>
          <w:sz w:val="30"/>
          <w:szCs w:val="30"/>
        </w:rPr>
        <w:t xml:space="preserve">1. Purpose and Scope</w:t>
      </w:r>
    </w:p>
    <w:p>
      <w:pPr>
        <w:spacing w:after="160"/>
      </w:pPr>
      <w:r>
        <w:rPr>
          <w:sz w:val="22"/>
          <w:szCs w:val="22"/>
        </w:rPr>
        <w:t xml:space="preserve">This Legal Guidelines document establishes the minimum legal and compliance standards that all Zava Ltd. employees, contractors, and officers must follow in the course of their work. It applies globally across every Zava entity and region, and supplements — but does not replace — local law, which always takes precedence where stricter obligations apply.</w:t>
      </w:r>
    </w:p>
    <w:p>
      <w:pPr>
        <w:spacing w:after="160"/>
      </w:pPr>
      <w:r>
        <w:rPr>
          <w:sz w:val="22"/>
          <w:szCs w:val="22"/>
        </w:rPr>
        <w:t xml:space="preserve">Employees are expected to read this document in full during onboarding and to re-certify their understanding annually as part of the compliance attestation cycle.</w:t>
      </w:r>
    </w:p>
    <w:p>
      <w:pPr>
        <w:pStyle w:val="Heading1"/>
        <w:pBdr>
          <w:bottom w:val="single" w:color="2E5A9E" w:sz="8" w:space="4"/>
        </w:pBdr>
        <w:spacing w:after="200" w:before="360"/>
      </w:pPr>
      <w:r>
        <w:rPr>
          <w:b/>
          <w:bCs/>
          <w:color w:val="1F3864"/>
          <w:sz w:val="30"/>
          <w:szCs w:val="30"/>
        </w:rPr>
        <w:t xml:space="preserve">2. Compliance with Laws and Regulations</w:t>
      </w:r>
    </w:p>
    <w:p>
      <w:pPr>
        <w:spacing w:after="160"/>
      </w:pPr>
      <w:r>
        <w:rPr>
          <w:sz w:val="22"/>
          <w:szCs w:val="22"/>
        </w:rPr>
        <w:t xml:space="preserve">Zava operates in multiple jurisdictions and is subject to a wide range of laws, including but not limited to labor law, competition law, export control regulations, anti-corruption law, and data protection law. Employees must:</w:t>
      </w:r>
    </w:p>
    <w:p>
      <w:pPr>
        <w:pStyle w:val="ListParagraph"/>
        <w:numPr>
          <w:ilvl w:val="0"/>
          <w:numId w:val="2"/>
        </w:numPr>
        <w:spacing w:after="80"/>
      </w:pPr>
      <w:r>
        <w:rPr>
          <w:sz w:val="22"/>
          <w:szCs w:val="22"/>
        </w:rPr>
        <w:t xml:space="preserve">Comply with all applicable local, national, and international laws relevant to their role.</w:t>
      </w:r>
    </w:p>
    <w:p>
      <w:pPr>
        <w:pStyle w:val="ListParagraph"/>
        <w:numPr>
          <w:ilvl w:val="0"/>
          <w:numId w:val="2"/>
        </w:numPr>
        <w:spacing w:after="80"/>
      </w:pPr>
      <w:r>
        <w:rPr>
          <w:sz w:val="22"/>
          <w:szCs w:val="22"/>
        </w:rPr>
        <w:t xml:space="preserve">Escalate any uncertainty about legal obligations to the Legal team before proceeding.</w:t>
      </w:r>
    </w:p>
    <w:p>
      <w:pPr>
        <w:pStyle w:val="ListParagraph"/>
        <w:numPr>
          <w:ilvl w:val="0"/>
          <w:numId w:val="2"/>
        </w:numPr>
        <w:spacing w:after="80"/>
      </w:pPr>
      <w:r>
        <w:rPr>
          <w:sz w:val="22"/>
          <w:szCs w:val="22"/>
        </w:rPr>
        <w:t xml:space="preserve">Never rely on the absence of enforcement as justification for non-compliance.</w:t>
      </w:r>
    </w:p>
    <w:p>
      <w:pPr>
        <w:pStyle w:val="Heading1"/>
        <w:pBdr>
          <w:bottom w:val="single" w:color="2E5A9E" w:sz="8" w:space="4"/>
        </w:pBdr>
        <w:spacing w:after="200" w:before="360"/>
      </w:pPr>
      <w:r>
        <w:rPr>
          <w:b/>
          <w:bCs/>
          <w:color w:val="1F3864"/>
          <w:sz w:val="30"/>
          <w:szCs w:val="30"/>
        </w:rPr>
        <w:t xml:space="preserve">3. Intellectual Property</w:t>
      </w:r>
    </w:p>
    <w:p>
      <w:pPr>
        <w:pStyle w:val="Heading2"/>
        <w:spacing w:after="140" w:before="260"/>
      </w:pPr>
      <w:r>
        <w:rPr>
          <w:b/>
          <w:bCs/>
          <w:color w:val="2E5A9E"/>
          <w:sz w:val="24"/>
          <w:szCs w:val="24"/>
        </w:rPr>
        <w:t xml:space="preserve">3.1 Ownership</w:t>
      </w:r>
    </w:p>
    <w:p>
      <w:pPr>
        <w:spacing w:after="160"/>
      </w:pPr>
      <w:r>
        <w:rPr>
          <w:sz w:val="22"/>
          <w:szCs w:val="22"/>
        </w:rPr>
        <w:t xml:space="preserve">All work product created by employees in the scope of their employment — including code, designs, documentation, presentations, and inventions — is the sole property of Zava Ltd. This applies regardless of whether the work was created during standard business hours or using personal equipment.</w:t>
      </w:r>
    </w:p>
    <w:p>
      <w:pPr>
        <w:pStyle w:val="Heading2"/>
        <w:spacing w:after="140" w:before="260"/>
      </w:pPr>
      <w:r>
        <w:rPr>
          <w:b/>
          <w:bCs/>
          <w:color w:val="2E5A9E"/>
          <w:sz w:val="24"/>
          <w:szCs w:val="24"/>
        </w:rPr>
        <w:t xml:space="preserve">3.2 Third-Party IP</w:t>
      </w:r>
    </w:p>
    <w:p>
      <w:pPr>
        <w:spacing w:after="160"/>
      </w:pPr>
      <w:r>
        <w:rPr>
          <w:sz w:val="22"/>
          <w:szCs w:val="22"/>
        </w:rPr>
        <w:t xml:space="preserve">Employees must not introduce third-party intellectual property (including open-source code, images, or licensed content) into Zava products or materials without prior clearance from the Legal team. All open-source dependencies must be logged in the approved software registry.</w:t>
      </w:r>
    </w:p>
    <w:p>
      <w:pPr>
        <w:pStyle w:val="Heading1"/>
        <w:pBdr>
          <w:bottom w:val="single" w:color="2E5A9E" w:sz="8" w:space="4"/>
        </w:pBdr>
        <w:spacing w:after="200" w:before="360"/>
      </w:pPr>
      <w:r>
        <w:rPr>
          <w:b/>
          <w:bCs/>
          <w:color w:val="1F3864"/>
          <w:sz w:val="30"/>
          <w:szCs w:val="30"/>
        </w:rPr>
        <w:t xml:space="preserve">4. Confidentiality and Data Protection</w:t>
      </w:r>
    </w:p>
    <w:p>
      <w:pPr>
        <w:spacing w:after="160"/>
      </w:pPr>
      <w:r>
        <w:rPr>
          <w:sz w:val="22"/>
          <w:szCs w:val="22"/>
        </w:rPr>
        <w:t xml:space="preserve">Employees regularly handle confidential business information and personal data belonging to Zava, its customers, and its partners. The following rules apply without exception:</w:t>
      </w:r>
    </w:p>
    <w:p>
      <w:pPr>
        <w:pStyle w:val="ListParagraph"/>
        <w:numPr>
          <w:ilvl w:val="0"/>
          <w:numId w:val="2"/>
        </w:numPr>
        <w:spacing w:after="80"/>
      </w:pPr>
      <w:r>
        <w:rPr>
          <w:sz w:val="22"/>
          <w:szCs w:val="22"/>
        </w:rPr>
        <w:t xml:space="preserve">Confidential information may only be shared on a need-to-know basis.</w:t>
      </w:r>
    </w:p>
    <w:p>
      <w:pPr>
        <w:pStyle w:val="ListParagraph"/>
        <w:numPr>
          <w:ilvl w:val="0"/>
          <w:numId w:val="2"/>
        </w:numPr>
        <w:spacing w:after="80"/>
      </w:pPr>
      <w:r>
        <w:rPr>
          <w:sz w:val="22"/>
          <w:szCs w:val="22"/>
        </w:rPr>
        <w:t xml:space="preserve">Customer and employee personal data must be processed in accordance with the Data Protection Policy and applicable privacy law (e.g., GDPR, DPDP Act).</w:t>
      </w:r>
    </w:p>
    <w:p>
      <w:pPr>
        <w:pStyle w:val="ListParagraph"/>
        <w:numPr>
          <w:ilvl w:val="0"/>
          <w:numId w:val="2"/>
        </w:numPr>
        <w:spacing w:after="80"/>
      </w:pPr>
      <w:r>
        <w:rPr>
          <w:sz w:val="22"/>
          <w:szCs w:val="22"/>
        </w:rPr>
        <w:t xml:space="preserve">Confidentiality obligations survive termination of employment.</w:t>
      </w:r>
    </w:p>
    <w:p>
      <w:pPr>
        <w:pStyle w:val="ListParagraph"/>
        <w:numPr>
          <w:ilvl w:val="0"/>
          <w:numId w:val="2"/>
        </w:numPr>
        <w:spacing w:after="80"/>
      </w:pPr>
      <w:r>
        <w:rPr>
          <w:sz w:val="22"/>
          <w:szCs w:val="22"/>
        </w:rPr>
        <w:t xml:space="preserve">Any suspected data breach must be reported to the Legal and Security teams within 24 hours of discovery.</w:t>
      </w:r>
    </w:p>
    <w:p>
      <w:pPr>
        <w:pStyle w:val="Heading1"/>
        <w:pBdr>
          <w:bottom w:val="single" w:color="2E5A9E" w:sz="8" w:space="4"/>
        </w:pBdr>
        <w:spacing w:after="200" w:before="360"/>
      </w:pPr>
      <w:r>
        <w:rPr>
          <w:b/>
          <w:bCs/>
          <w:color w:val="1F3864"/>
          <w:sz w:val="30"/>
          <w:szCs w:val="30"/>
        </w:rPr>
        <w:t xml:space="preserve">5. Conflicts of Interest</w:t>
      </w:r>
    </w:p>
    <w:p>
      <w:pPr>
        <w:spacing w:after="160"/>
      </w:pPr>
      <w:r>
        <w:rPr>
          <w:sz w:val="22"/>
          <w:szCs w:val="22"/>
        </w:rPr>
        <w:t xml:space="preserve">Employees must avoid situations where personal interests could reasonably be seen to conflict with Zava’s interests. Examples requiring mandatory disclosure include:</w:t>
      </w:r>
    </w:p>
    <w:p>
      <w:pPr>
        <w:pStyle w:val="ListParagraph"/>
        <w:numPr>
          <w:ilvl w:val="0"/>
          <w:numId w:val="2"/>
        </w:numPr>
        <w:spacing w:after="80"/>
      </w:pPr>
      <w:r>
        <w:rPr>
          <w:sz w:val="22"/>
          <w:szCs w:val="22"/>
        </w:rPr>
        <w:t xml:space="preserve">Financial interest in a competitor, supplier, or customer.</w:t>
      </w:r>
    </w:p>
    <w:p>
      <w:pPr>
        <w:pStyle w:val="ListParagraph"/>
        <w:numPr>
          <w:ilvl w:val="0"/>
          <w:numId w:val="2"/>
        </w:numPr>
        <w:spacing w:after="80"/>
      </w:pPr>
      <w:r>
        <w:rPr>
          <w:sz w:val="22"/>
          <w:szCs w:val="22"/>
        </w:rPr>
        <w:t xml:space="preserve">Close personal relationships with individuals involved in a hiring or procurement decision you influence.</w:t>
      </w:r>
    </w:p>
    <w:p>
      <w:pPr>
        <w:pStyle w:val="ListParagraph"/>
        <w:numPr>
          <w:ilvl w:val="0"/>
          <w:numId w:val="2"/>
        </w:numPr>
        <w:spacing w:after="80"/>
      </w:pPr>
      <w:r>
        <w:rPr>
          <w:sz w:val="22"/>
          <w:szCs w:val="22"/>
        </w:rPr>
        <w:t xml:space="preserve">Outside employment or board positions that overlap with Zava’s business.</w:t>
      </w:r>
    </w:p>
    <w:p>
      <w:pPr>
        <w:spacing w:after="160"/>
      </w:pPr>
      <w:r>
        <w:rPr>
          <w:sz w:val="22"/>
          <w:szCs w:val="22"/>
        </w:rPr>
        <w:t xml:space="preserve">All conflicts must be disclosed via the Conflict of Interest form and reviewed by Legal before proceeding with the activity in question.</w:t>
      </w:r>
    </w:p>
    <w:p>
      <w:pPr>
        <w:pStyle w:val="Heading1"/>
        <w:pBdr>
          <w:bottom w:val="single" w:color="2E5A9E" w:sz="8" w:space="4"/>
        </w:pBdr>
        <w:spacing w:after="200" w:before="360"/>
      </w:pPr>
      <w:r>
        <w:rPr>
          <w:b/>
          <w:bCs/>
          <w:color w:val="1F3864"/>
          <w:sz w:val="30"/>
          <w:szCs w:val="30"/>
        </w:rPr>
        <w:t xml:space="preserve">6. Anti-Bribery and Corruption</w:t>
      </w:r>
    </w:p>
    <w:p>
      <w:pPr>
        <w:spacing w:after="160"/>
      </w:pPr>
      <w:r>
        <w:rPr>
          <w:sz w:val="22"/>
          <w:szCs w:val="22"/>
        </w:rPr>
        <w:t xml:space="preserve">Zava maintains a zero-tolerance policy toward bribery and corruption in any form. Employees may not offer, give, request, or accept anything of value intended to improperly influence a business decision. This includes cash, gifts above nominal value, hospitality, or favors extended to government officials, customers, or partners.</w:t>
      </w:r>
    </w:p>
    <w:p>
      <w:pPr>
        <w:spacing w:after="160"/>
      </w:pPr>
      <w:r>
        <w:rPr>
          <w:sz w:val="22"/>
          <w:szCs w:val="22"/>
        </w:rPr>
        <w:t xml:space="preserve">Gifts and hospitality above the pre-approved threshold (see the Finance Policy, Section 4) must be logged in the Gifts &amp; Hospitality Register regardless of intent.</w:t>
      </w:r>
    </w:p>
    <w:p>
      <w:pPr>
        <w:pStyle w:val="Heading1"/>
        <w:pBdr>
          <w:bottom w:val="single" w:color="2E5A9E" w:sz="8" w:space="4"/>
        </w:pBdr>
        <w:spacing w:after="200" w:before="360"/>
      </w:pPr>
      <w:r>
        <w:rPr>
          <w:b/>
          <w:bCs/>
          <w:color w:val="1F3864"/>
          <w:sz w:val="30"/>
          <w:szCs w:val="30"/>
        </w:rPr>
        <w:t xml:space="preserve">7. Contract Approval Authority</w:t>
      </w:r>
    </w:p>
    <w:p>
      <w:pPr>
        <w:spacing w:after="160"/>
      </w:pPr>
      <w:r>
        <w:rPr>
          <w:sz w:val="22"/>
          <w:szCs w:val="22"/>
        </w:rPr>
        <w:t xml:space="preserve">No employee may sign a contract, order form, or binding commitment on behalf of Zava unless they hold the appropriate signing authority. The table below summarizes standard thresholds; all contracts must additionally be routed through Legal review prior to signature.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rPr>
          <w:tblHeader/>
        </w:trPr>
        <w:tc>
          <w:tcPr>
            <w:tcW w:type="dxa" w:w="3200"/>
            <w:shd w:fill="2E5A9E" w:val="clear"/>
            <w:tcMar>
              <w:top w:type="dxa" w:w="80"/>
              <w:left w:type="dxa" w:w="120"/>
              <w:bottom w:type="dxa" w:w="80"/>
              <w:right w:type="dxa" w:w="120"/>
            </w:tcMar>
          </w:tcPr>
          <w:p>
            <w:r>
              <w:rPr>
                <w:b/>
                <w:bCs/>
                <w:color w:val="FFFFFF"/>
                <w:sz w:val="20"/>
                <w:szCs w:val="20"/>
              </w:rPr>
              <w:t xml:space="preserve">Contract Value (USD)</w:t>
            </w:r>
          </w:p>
        </w:tc>
        <w:tc>
          <w:tcPr>
            <w:tcW w:type="dxa" w:w="3200"/>
            <w:shd w:fill="2E5A9E" w:val="clear"/>
            <w:tcMar>
              <w:top w:type="dxa" w:w="80"/>
              <w:left w:type="dxa" w:w="120"/>
              <w:bottom w:type="dxa" w:w="80"/>
              <w:right w:type="dxa" w:w="120"/>
            </w:tcMar>
          </w:tcPr>
          <w:p>
            <w:r>
              <w:rPr>
                <w:b/>
                <w:bCs/>
                <w:color w:val="FFFFFF"/>
                <w:sz w:val="20"/>
                <w:szCs w:val="20"/>
              </w:rPr>
              <w:t xml:space="preserve">Required Reviewer</w:t>
            </w:r>
          </w:p>
        </w:tc>
        <w:tc>
          <w:tcPr>
            <w:tcW w:type="dxa" w:w="3100"/>
            <w:shd w:fill="2E5A9E" w:val="clear"/>
            <w:tcMar>
              <w:top w:type="dxa" w:w="80"/>
              <w:left w:type="dxa" w:w="120"/>
              <w:bottom w:type="dxa" w:w="80"/>
              <w:right w:type="dxa" w:w="120"/>
            </w:tcMar>
          </w:tcPr>
          <w:p>
            <w:r>
              <w:rPr>
                <w:b/>
                <w:bCs/>
                <w:color w:val="FFFFFF"/>
                <w:sz w:val="20"/>
                <w:szCs w:val="20"/>
              </w:rPr>
              <w:t xml:space="preserve">Signing Authority</w:t>
            </w:r>
          </w:p>
        </w:tc>
      </w:tr>
      <w:tr>
        <w:tc>
          <w:tcPr>
            <w:tcW w:type="dxa" w:w="3200"/>
            <w:tcMar>
              <w:top w:type="dxa" w:w="80"/>
              <w:left w:type="dxa" w:w="120"/>
              <w:bottom w:type="dxa" w:w="80"/>
              <w:right w:type="dxa" w:w="120"/>
            </w:tcMar>
          </w:tcPr>
          <w:p>
            <w:r>
              <w:rPr>
                <w:b w:val="false"/>
                <w:bCs w:val="false"/>
                <w:color w:val="000000"/>
                <w:sz w:val="20"/>
                <w:szCs w:val="20"/>
              </w:rPr>
              <w:t xml:space="preserve">Up to $25,000</w:t>
            </w:r>
          </w:p>
        </w:tc>
        <w:tc>
          <w:tcPr>
            <w:tcW w:type="dxa" w:w="3200"/>
            <w:tcMar>
              <w:top w:type="dxa" w:w="80"/>
              <w:left w:type="dxa" w:w="120"/>
              <w:bottom w:type="dxa" w:w="80"/>
              <w:right w:type="dxa" w:w="120"/>
            </w:tcMar>
          </w:tcPr>
          <w:p>
            <w:r>
              <w:rPr>
                <w:b w:val="false"/>
                <w:bCs w:val="false"/>
                <w:color w:val="000000"/>
                <w:sz w:val="20"/>
                <w:szCs w:val="20"/>
              </w:rPr>
              <w:t xml:space="preserve">Department Manager</w:t>
            </w:r>
          </w:p>
        </w:tc>
        <w:tc>
          <w:tcPr>
            <w:tcW w:type="dxa" w:w="3100"/>
            <w:tcMar>
              <w:top w:type="dxa" w:w="80"/>
              <w:left w:type="dxa" w:w="120"/>
              <w:bottom w:type="dxa" w:w="80"/>
              <w:right w:type="dxa" w:w="120"/>
            </w:tcMar>
          </w:tcPr>
          <w:p>
            <w:r>
              <w:rPr>
                <w:b w:val="false"/>
                <w:bCs w:val="false"/>
                <w:color w:val="000000"/>
                <w:sz w:val="20"/>
                <w:szCs w:val="20"/>
              </w:rPr>
              <w:t xml:space="preserve">Department Manager</w:t>
            </w:r>
          </w:p>
        </w:tc>
      </w:tr>
      <w:tr>
        <w:tc>
          <w:tcPr>
            <w:tcW w:type="dxa" w:w="3200"/>
            <w:tcMar>
              <w:top w:type="dxa" w:w="80"/>
              <w:left w:type="dxa" w:w="120"/>
              <w:bottom w:type="dxa" w:w="80"/>
              <w:right w:type="dxa" w:w="120"/>
            </w:tcMar>
          </w:tcPr>
          <w:p>
            <w:r>
              <w:rPr>
                <w:b w:val="false"/>
                <w:bCs w:val="false"/>
                <w:color w:val="000000"/>
                <w:sz w:val="20"/>
                <w:szCs w:val="20"/>
              </w:rPr>
              <w:t xml:space="preserve">$25,001 – $150,000</w:t>
            </w:r>
          </w:p>
        </w:tc>
        <w:tc>
          <w:tcPr>
            <w:tcW w:type="dxa" w:w="3200"/>
            <w:tcMar>
              <w:top w:type="dxa" w:w="80"/>
              <w:left w:type="dxa" w:w="120"/>
              <w:bottom w:type="dxa" w:w="80"/>
              <w:right w:type="dxa" w:w="120"/>
            </w:tcMar>
          </w:tcPr>
          <w:p>
            <w:r>
              <w:rPr>
                <w:b w:val="false"/>
                <w:bCs w:val="false"/>
                <w:color w:val="000000"/>
                <w:sz w:val="20"/>
                <w:szCs w:val="20"/>
              </w:rPr>
              <w:t xml:space="preserve">Legal + Finance</w:t>
            </w:r>
          </w:p>
        </w:tc>
        <w:tc>
          <w:tcPr>
            <w:tcW w:type="dxa" w:w="3100"/>
            <w:tcMar>
              <w:top w:type="dxa" w:w="80"/>
              <w:left w:type="dxa" w:w="120"/>
              <w:bottom w:type="dxa" w:w="80"/>
              <w:right w:type="dxa" w:w="120"/>
            </w:tcMar>
          </w:tcPr>
          <w:p>
            <w:r>
              <w:rPr>
                <w:b w:val="false"/>
                <w:bCs w:val="false"/>
                <w:color w:val="000000"/>
                <w:sz w:val="20"/>
                <w:szCs w:val="20"/>
              </w:rPr>
              <w:t xml:space="preserve">Director or above</w:t>
            </w:r>
          </w:p>
        </w:tc>
      </w:tr>
      <w:tr>
        <w:tc>
          <w:tcPr>
            <w:tcW w:type="dxa" w:w="3200"/>
            <w:tcMar>
              <w:top w:type="dxa" w:w="80"/>
              <w:left w:type="dxa" w:w="120"/>
              <w:bottom w:type="dxa" w:w="80"/>
              <w:right w:type="dxa" w:w="120"/>
            </w:tcMar>
          </w:tcPr>
          <w:p>
            <w:r>
              <w:rPr>
                <w:b w:val="false"/>
                <w:bCs w:val="false"/>
                <w:color w:val="000000"/>
                <w:sz w:val="20"/>
                <w:szCs w:val="20"/>
              </w:rPr>
              <w:t xml:space="preserve">$150,001 – $1,000,000</w:t>
            </w:r>
          </w:p>
        </w:tc>
        <w:tc>
          <w:tcPr>
            <w:tcW w:type="dxa" w:w="3200"/>
            <w:tcMar>
              <w:top w:type="dxa" w:w="80"/>
              <w:left w:type="dxa" w:w="120"/>
              <w:bottom w:type="dxa" w:w="80"/>
              <w:right w:type="dxa" w:w="120"/>
            </w:tcMar>
          </w:tcPr>
          <w:p>
            <w:r>
              <w:rPr>
                <w:b w:val="false"/>
                <w:bCs w:val="false"/>
                <w:color w:val="000000"/>
                <w:sz w:val="20"/>
                <w:szCs w:val="20"/>
              </w:rPr>
              <w:t xml:space="preserve">Legal + Finance + VP</w:t>
            </w:r>
          </w:p>
        </w:tc>
        <w:tc>
          <w:tcPr>
            <w:tcW w:type="dxa" w:w="3100"/>
            <w:tcMar>
              <w:top w:type="dxa" w:w="80"/>
              <w:left w:type="dxa" w:w="120"/>
              <w:bottom w:type="dxa" w:w="80"/>
              <w:right w:type="dxa" w:w="120"/>
            </w:tcMar>
          </w:tcPr>
          <w:p>
            <w:r>
              <w:rPr>
                <w:b w:val="false"/>
                <w:bCs w:val="false"/>
                <w:color w:val="000000"/>
                <w:sz w:val="20"/>
                <w:szCs w:val="20"/>
              </w:rPr>
              <w:t xml:space="preserve">Vice President</w:t>
            </w:r>
          </w:p>
        </w:tc>
      </w:tr>
      <w:tr>
        <w:tc>
          <w:tcPr>
            <w:tcW w:type="dxa" w:w="3200"/>
            <w:tcMar>
              <w:top w:type="dxa" w:w="80"/>
              <w:left w:type="dxa" w:w="120"/>
              <w:bottom w:type="dxa" w:w="80"/>
              <w:right w:type="dxa" w:w="120"/>
            </w:tcMar>
          </w:tcPr>
          <w:p>
            <w:r>
              <w:rPr>
                <w:b w:val="false"/>
                <w:bCs w:val="false"/>
                <w:color w:val="000000"/>
                <w:sz w:val="20"/>
                <w:szCs w:val="20"/>
              </w:rPr>
              <w:t xml:space="preserve">Above $1,000,000</w:t>
            </w:r>
          </w:p>
        </w:tc>
        <w:tc>
          <w:tcPr>
            <w:tcW w:type="dxa" w:w="3200"/>
            <w:tcMar>
              <w:top w:type="dxa" w:w="80"/>
              <w:left w:type="dxa" w:w="120"/>
              <w:bottom w:type="dxa" w:w="80"/>
              <w:right w:type="dxa" w:w="120"/>
            </w:tcMar>
          </w:tcPr>
          <w:p>
            <w:r>
              <w:rPr>
                <w:b w:val="false"/>
                <w:bCs w:val="false"/>
                <w:color w:val="000000"/>
                <w:sz w:val="20"/>
                <w:szCs w:val="20"/>
              </w:rPr>
              <w:t xml:space="preserve">Legal + Finance + Executive Committee</w:t>
            </w:r>
          </w:p>
        </w:tc>
        <w:tc>
          <w:tcPr>
            <w:tcW w:type="dxa" w:w="3100"/>
            <w:tcMar>
              <w:top w:type="dxa" w:w="80"/>
              <w:left w:type="dxa" w:w="120"/>
              <w:bottom w:type="dxa" w:w="80"/>
              <w:right w:type="dxa" w:w="120"/>
            </w:tcMar>
          </w:tcPr>
          <w:p>
            <w:r>
              <w:rPr>
                <w:b w:val="false"/>
                <w:bCs w:val="false"/>
                <w:color w:val="000000"/>
                <w:sz w:val="20"/>
                <w:szCs w:val="20"/>
              </w:rPr>
              <w:t xml:space="preserve">Chief Executive Officer</w:t>
            </w:r>
          </w:p>
        </w:tc>
      </w:tr>
    </w:tbl>
    <w:p>
      <w:pPr>
        <w:pStyle w:val="Heading1"/>
        <w:pBdr>
          <w:bottom w:val="single" w:color="2E5A9E" w:sz="8" w:space="4"/>
        </w:pBdr>
        <w:spacing w:after="200" w:before="360"/>
      </w:pPr>
      <w:r>
        <w:rPr>
          <w:b/>
          <w:bCs/>
          <w:color w:val="1F3864"/>
          <w:sz w:val="30"/>
          <w:szCs w:val="30"/>
        </w:rPr>
        <w:t xml:space="preserve">8. Reporting Violations</w:t>
      </w:r>
    </w:p>
    <w:p>
      <w:pPr>
        <w:spacing w:after="160"/>
      </w:pPr>
      <w:r>
        <w:rPr>
          <w:sz w:val="22"/>
          <w:szCs w:val="22"/>
        </w:rPr>
        <w:t xml:space="preserve">Employees who witness or suspect a violation of this policy, or of applicable law, are required to report it promptly. Reports can be made through any of the following channels, and retaliation against a good-faith reporter is strictly prohibited:</w:t>
      </w:r>
    </w:p>
    <w:p>
      <w:pPr>
        <w:pStyle w:val="ListParagraph"/>
        <w:numPr>
          <w:ilvl w:val="0"/>
          <w:numId w:val="2"/>
        </w:numPr>
        <w:spacing w:after="80"/>
      </w:pPr>
      <w:r>
        <w:rPr>
          <w:sz w:val="22"/>
          <w:szCs w:val="22"/>
        </w:rPr>
        <w:t xml:space="preserve">Direct manager or Legal team (legal [at] zava.com)</w:t>
      </w:r>
    </w:p>
    <w:p>
      <w:pPr>
        <w:pStyle w:val="ListParagraph"/>
        <w:numPr>
          <w:ilvl w:val="0"/>
          <w:numId w:val="2"/>
        </w:numPr>
        <w:spacing w:after="80"/>
      </w:pPr>
      <w:r>
        <w:rPr>
          <w:sz w:val="22"/>
          <w:szCs w:val="22"/>
        </w:rPr>
        <w:t xml:space="preserve">Confidential Ethics Hotline: available 24/7, anonymous reporting supported</w:t>
      </w:r>
    </w:p>
    <w:p>
      <w:pPr>
        <w:pStyle w:val="ListParagraph"/>
        <w:numPr>
          <w:ilvl w:val="0"/>
          <w:numId w:val="2"/>
        </w:numPr>
        <w:spacing w:after="80"/>
      </w:pPr>
      <w:r>
        <w:rPr>
          <w:sz w:val="22"/>
          <w:szCs w:val="22"/>
        </w:rPr>
        <w:t xml:space="preserve">Human Resources Business Partner</w:t>
      </w:r>
    </w:p>
    <w:p>
      <w:pPr>
        <w:pStyle w:val="Heading1"/>
        <w:pBdr>
          <w:bottom w:val="single" w:color="2E5A9E" w:sz="8" w:space="4"/>
        </w:pBdr>
        <w:spacing w:after="200" w:before="360"/>
      </w:pPr>
      <w:r>
        <w:rPr>
          <w:b/>
          <w:bCs/>
          <w:color w:val="1F3864"/>
          <w:sz w:val="30"/>
          <w:szCs w:val="30"/>
        </w:rPr>
        <w:t xml:space="preserve">9. Contacts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rPr>
          <w:tblHeader/>
        </w:trPr>
        <w:tc>
          <w:tcPr>
            <w:tcW w:type="dxa" w:w="3200"/>
            <w:shd w:fill="2E5A9E" w:val="clear"/>
            <w:tcMar>
              <w:top w:type="dxa" w:w="80"/>
              <w:left w:type="dxa" w:w="120"/>
              <w:bottom w:type="dxa" w:w="80"/>
              <w:right w:type="dxa" w:w="120"/>
            </w:tcMar>
          </w:tcPr>
          <w:p>
            <w:r>
              <w:rPr>
                <w:b/>
                <w:bCs/>
                <w:color w:val="FFFFFF"/>
                <w:sz w:val="20"/>
                <w:szCs w:val="20"/>
              </w:rPr>
              <w:t xml:space="preserve">Team</w:t>
            </w:r>
          </w:p>
        </w:tc>
        <w:tc>
          <w:tcPr>
            <w:tcW w:type="dxa" w:w="3200"/>
            <w:shd w:fill="2E5A9E" w:val="clear"/>
            <w:tcMar>
              <w:top w:type="dxa" w:w="80"/>
              <w:left w:type="dxa" w:w="120"/>
              <w:bottom w:type="dxa" w:w="80"/>
              <w:right w:type="dxa" w:w="120"/>
            </w:tcMar>
          </w:tcPr>
          <w:p>
            <w:r>
              <w:rPr>
                <w:b/>
                <w:bCs/>
                <w:color w:val="FFFFFF"/>
                <w:sz w:val="20"/>
                <w:szCs w:val="20"/>
              </w:rPr>
              <w:t xml:space="preserve">Contact</w:t>
            </w:r>
          </w:p>
        </w:tc>
        <w:tc>
          <w:tcPr>
            <w:tcW w:type="dxa" w:w="3100"/>
            <w:shd w:fill="2E5A9E" w:val="clear"/>
            <w:tcMar>
              <w:top w:type="dxa" w:w="80"/>
              <w:left w:type="dxa" w:w="120"/>
              <w:bottom w:type="dxa" w:w="80"/>
              <w:right w:type="dxa" w:w="120"/>
            </w:tcMar>
          </w:tcPr>
          <w:p>
            <w:r>
              <w:rPr>
                <w:b/>
                <w:bCs/>
                <w:color w:val="FFFFFF"/>
                <w:sz w:val="20"/>
                <w:szCs w:val="20"/>
              </w:rPr>
              <w:t xml:space="preserve">Email</w:t>
            </w:r>
          </w:p>
        </w:tc>
      </w:tr>
      <w:tr>
        <w:tc>
          <w:tcPr>
            <w:tcW w:type="dxa" w:w="3200"/>
            <w:tcMar>
              <w:top w:type="dxa" w:w="80"/>
              <w:left w:type="dxa" w:w="120"/>
              <w:bottom w:type="dxa" w:w="80"/>
              <w:right w:type="dxa" w:w="120"/>
            </w:tcMar>
          </w:tcPr>
          <w:p>
            <w:r>
              <w:rPr>
                <w:b w:val="false"/>
                <w:bCs w:val="false"/>
                <w:color w:val="000000"/>
                <w:sz w:val="20"/>
                <w:szCs w:val="20"/>
              </w:rPr>
              <w:t xml:space="preserve">Office of the General Counsel</w:t>
            </w:r>
          </w:p>
        </w:tc>
        <w:tc>
          <w:tcPr>
            <w:tcW w:type="dxa" w:w="3200"/>
            <w:tcMar>
              <w:top w:type="dxa" w:w="80"/>
              <w:left w:type="dxa" w:w="120"/>
              <w:bottom w:type="dxa" w:w="80"/>
              <w:right w:type="dxa" w:w="120"/>
            </w:tcMar>
          </w:tcPr>
          <w:p>
            <w:r>
              <w:rPr>
                <w:b w:val="false"/>
                <w:bCs w:val="false"/>
                <w:color w:val="000000"/>
                <w:sz w:val="20"/>
                <w:szCs w:val="20"/>
              </w:rPr>
              <w:t xml:space="preserve">Priya Nathan, General Counsel</w:t>
            </w:r>
          </w:p>
        </w:tc>
        <w:tc>
          <w:tcPr>
            <w:tcW w:type="dxa" w:w="3100"/>
            <w:tcMar>
              <w:top w:type="dxa" w:w="80"/>
              <w:left w:type="dxa" w:w="120"/>
              <w:bottom w:type="dxa" w:w="80"/>
              <w:right w:type="dxa" w:w="120"/>
            </w:tcMar>
          </w:tcPr>
          <w:p>
            <w:r>
              <w:rPr>
                <w:b w:val="false"/>
                <w:bCs w:val="false"/>
                <w:color w:val="000000"/>
                <w:sz w:val="20"/>
                <w:szCs w:val="20"/>
              </w:rPr>
              <w:t xml:space="preserve">priya.nathan [at] zava.com</w:t>
            </w:r>
          </w:p>
        </w:tc>
      </w:tr>
      <w:tr>
        <w:tc>
          <w:tcPr>
            <w:tcW w:type="dxa" w:w="3200"/>
            <w:tcMar>
              <w:top w:type="dxa" w:w="80"/>
              <w:left w:type="dxa" w:w="120"/>
              <w:bottom w:type="dxa" w:w="80"/>
              <w:right w:type="dxa" w:w="120"/>
            </w:tcMar>
          </w:tcPr>
          <w:p>
            <w:r>
              <w:rPr>
                <w:b w:val="false"/>
                <w:bCs w:val="false"/>
                <w:color w:val="000000"/>
                <w:sz w:val="20"/>
                <w:szCs w:val="20"/>
              </w:rPr>
              <w:t xml:space="preserve">Compliance</w:t>
            </w:r>
          </w:p>
        </w:tc>
        <w:tc>
          <w:tcPr>
            <w:tcW w:type="dxa" w:w="3200"/>
            <w:tcMar>
              <w:top w:type="dxa" w:w="80"/>
              <w:left w:type="dxa" w:w="120"/>
              <w:bottom w:type="dxa" w:w="80"/>
              <w:right w:type="dxa" w:w="120"/>
            </w:tcMar>
          </w:tcPr>
          <w:p>
            <w:r>
              <w:rPr>
                <w:b w:val="false"/>
                <w:bCs w:val="false"/>
                <w:color w:val="000000"/>
                <w:sz w:val="20"/>
                <w:szCs w:val="20"/>
              </w:rPr>
              <w:t xml:space="preserve">Marcus Reidel, Head of Compliance</w:t>
            </w:r>
          </w:p>
        </w:tc>
        <w:tc>
          <w:tcPr>
            <w:tcW w:type="dxa" w:w="3100"/>
            <w:tcMar>
              <w:top w:type="dxa" w:w="80"/>
              <w:left w:type="dxa" w:w="120"/>
              <w:bottom w:type="dxa" w:w="80"/>
              <w:right w:type="dxa" w:w="120"/>
            </w:tcMar>
          </w:tcPr>
          <w:p>
            <w:r>
              <w:rPr>
                <w:b w:val="false"/>
                <w:bCs w:val="false"/>
                <w:color w:val="000000"/>
                <w:sz w:val="20"/>
                <w:szCs w:val="20"/>
              </w:rPr>
              <w:t xml:space="preserve">marcus.reidel [at] zava.com</w:t>
            </w:r>
          </w:p>
        </w:tc>
      </w:tr>
      <w:tr>
        <w:tc>
          <w:tcPr>
            <w:tcW w:type="dxa" w:w="3200"/>
            <w:tcMar>
              <w:top w:type="dxa" w:w="80"/>
              <w:left w:type="dxa" w:w="120"/>
              <w:bottom w:type="dxa" w:w="80"/>
              <w:right w:type="dxa" w:w="120"/>
            </w:tcMar>
          </w:tcPr>
          <w:p>
            <w:r>
              <w:rPr>
                <w:b w:val="false"/>
                <w:bCs w:val="false"/>
                <w:color w:val="000000"/>
                <w:sz w:val="20"/>
                <w:szCs w:val="20"/>
              </w:rPr>
              <w:t xml:space="preserve">Data Protection Office</w:t>
            </w:r>
          </w:p>
        </w:tc>
        <w:tc>
          <w:tcPr>
            <w:tcW w:type="dxa" w:w="3200"/>
            <w:tcMar>
              <w:top w:type="dxa" w:w="80"/>
              <w:left w:type="dxa" w:w="120"/>
              <w:bottom w:type="dxa" w:w="80"/>
              <w:right w:type="dxa" w:w="120"/>
            </w:tcMar>
          </w:tcPr>
          <w:p>
            <w:r>
              <w:rPr>
                <w:b w:val="false"/>
                <w:bCs w:val="false"/>
                <w:color w:val="000000"/>
                <w:sz w:val="20"/>
                <w:szCs w:val="20"/>
              </w:rPr>
              <w:t xml:space="preserve">Elena Kovac, DPO</w:t>
            </w:r>
          </w:p>
        </w:tc>
        <w:tc>
          <w:tcPr>
            <w:tcW w:type="dxa" w:w="3100"/>
            <w:tcMar>
              <w:top w:type="dxa" w:w="80"/>
              <w:left w:type="dxa" w:w="120"/>
              <w:bottom w:type="dxa" w:w="80"/>
              <w:right w:type="dxa" w:w="120"/>
            </w:tcMar>
          </w:tcPr>
          <w:p>
            <w:r>
              <w:rPr>
                <w:b w:val="false"/>
                <w:bCs w:val="false"/>
                <w:color w:val="000000"/>
                <w:sz w:val="20"/>
                <w:szCs w:val="20"/>
              </w:rPr>
              <w:t xml:space="preserve">elena.kovac [at] zava.com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Zava Ltd.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769c67f4c7cfc01a545acd4c51b27e02">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7a45fe52ca0bcc6c380d0b69933802b0"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Event" ma:index="24"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urseExecutionStartDate" ma:index="26"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7"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8"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29" nillable="true" ma:displayName="Country/region of Execution: Country/Region" ma:internalName="CountryOrRegion" ma:readOnly="true">
      <xsd:simpleType>
        <xsd:restriction base="dms:Text"/>
      </xsd:simpleType>
    </xsd:element>
    <xsd:element name="f6418541-2d6e-4e1a-99dd-033c96f75490State" ma:index="30" nillable="true" ma:displayName="Country/region of Execution: State" ma:internalName="State" ma:readOnly="true">
      <xsd:simpleType>
        <xsd:restriction base="dms:Text"/>
      </xsd:simpleType>
    </xsd:element>
    <xsd:element name="f6418541-2d6e-4e1a-99dd-033c96f75490City" ma:index="31" nillable="true" ma:displayName="Country/region of Execution: City" ma:internalName="City" ma:readOnly="true">
      <xsd:simpleType>
        <xsd:restriction base="dms:Text"/>
      </xsd:simpleType>
    </xsd:element>
    <xsd:element name="f6418541-2d6e-4e1a-99dd-033c96f75490PostalCode" ma:index="32" nillable="true" ma:displayName="Country/region of Execution: Postal Code" ma:internalName="PostalCode" ma:readOnly="true">
      <xsd:simpleType>
        <xsd:restriction base="dms:Text"/>
      </xsd:simpleType>
    </xsd:element>
    <xsd:element name="f6418541-2d6e-4e1a-99dd-033c96f75490Street" ma:index="33" nillable="true" ma:displayName="Country/region of Execution: Street" ma:internalName="Street" ma:readOnly="true">
      <xsd:simpleType>
        <xsd:restriction base="dms:Text"/>
      </xsd:simpleType>
    </xsd:element>
    <xsd:element name="f6418541-2d6e-4e1a-99dd-033c96f75490GeoLoc" ma:index="34" nillable="true" ma:displayName="Country/region of Execution: Coordinates" ma:internalName="GeoLoc" ma:readOnly="true">
      <xsd:simpleType>
        <xsd:restriction base="dms:Unknown"/>
      </xsd:simpleType>
    </xsd:element>
    <xsd:element name="f6418541-2d6e-4e1a-99dd-033c96f75490DispName" ma:index="35" nillable="true" ma:displayName="Country/region of Execution: Name" ma:internalName="DispName" ma:readOnly="true">
      <xsd:simpleType>
        <xsd:restriction base="dms:Text"/>
      </xsd:simpleType>
    </xsd:element>
    <xsd:element name="ContentReferenceLinkOnOD" ma:index="36"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TranslatedLang" ma:index="38" nillable="true" ma:displayName="Translated Language" ma:internalName="TranslatedLang">
      <xsd:simpleType>
        <xsd:restriction base="dms:Text"/>
      </xsd:simpleType>
    </xsd:element>
    <xsd:element name="MediaServiceBillingMetadata" ma:index="39" nillable="true" ma:displayName="MediaServiceBillingMetadata" ma:hidden="true" ma:internalName="MediaServiceBillingMetadata" ma:readOnly="true">
      <xsd:simpleType>
        <xsd:restriction base="dms:Note"/>
      </xsd:simpleType>
    </xsd:element>
    <xsd:element name="_Flow_SignoffStatus" ma:index="40" nillable="true" ma:displayName="Sign-off status" ma:internalName="_x0024_Resources_x003a_core_x002c_Signoff_Status">
      <xsd:simpleType>
        <xsd:restriction base="dms:Text"/>
      </xsd:simpleType>
    </xsd:element>
    <xsd:element name="NextActionRequestedfrom" ma:index="41"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_Flow_SignoffStatus xmlns="8ef809a0-ee5c-4f7c-93f4-54335103f45d"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NextActionRequestedfrom xmlns="8ef809a0-ee5c-4f7c-93f4-54335103f45d">
      <UserInfo>
        <DisplayName/>
        <AccountId xsi:nil="true"/>
        <AccountType/>
      </UserInfo>
    </NextActionRequestedfrom>
    <TaxCatchAll xmlns="7d8eff29-6c54-442a-b227-cf62f770eb0b" xsi:nil="true"/>
    <Country_x002f_regionofExecution xmlns="8ef809a0-ee5c-4f7c-93f4-54335103f45d" xsi:nil="true"/>
  </documentManagement>
</p:properties>
</file>

<file path=customXml/itemProps1.xml><?xml version="1.0" encoding="utf-8"?>
<ds:datastoreItem xmlns:ds="http://schemas.openxmlformats.org/officeDocument/2006/customXml" ds:itemID="{D87BB52C-1053-4E57-8603-13C8AE1B79DD}"/>
</file>

<file path=customXml/itemProps2.xml><?xml version="1.0" encoding="utf-8"?>
<ds:datastoreItem xmlns:ds="http://schemas.openxmlformats.org/officeDocument/2006/customXml" ds:itemID="{BB976395-6BDE-4C63-8100-F1F0C702F04D}"/>
</file>

<file path=customXml/itemProps3.xml><?xml version="1.0" encoding="utf-8"?>
<ds:datastoreItem xmlns:ds="http://schemas.openxmlformats.org/officeDocument/2006/customXml" ds:itemID="{D06DF56E-BE99-4328-B4EA-4EDFF21FA31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2026-08-10T07:30:30Z</dcterms:created>
  <dcterms:modified xsi:type="dcterms:W3CDTF">2026-08-10T07:30:30Z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ies>
</file>