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/>
      </w:pPr>
      <w:r>
        <w:rPr>
          <w:rFonts w:ascii="Calibri" w:cs="Calibri" w:eastAsia="Calibri" w:hAnsi="Calibri"/>
          <w:b/>
          <w:bCs/>
          <w:color w:val="1F4E79"/>
          <w:sz w:val="36"/>
          <w:szCs w:val="36"/>
        </w:rPr>
        <w:t xml:space="preserve">Lab 1 — Sample Data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Copy-ready sample data for Exercise 2 (Claude Sonnet vs. Claude Opus board update). Use only this fictitious data — do not substitute real company figures.</w:t>
      </w:r>
    </w:p>
    <w:p>
      <w:pPr>
        <w:pStyle w:val="Heading1"/>
        <w:pBdr>
          <w:bottom w:val="single" w:color="1F4E79" w:sz="8" w:space="4"/>
        </w:pBdr>
        <w:spacing w:after="200" w:before="20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ZAVA Retail — Q2 FY2026 Earnings Highlights</w:t>
      </w:r>
    </w:p>
    <w:p>
      <w:pPr>
        <w:pStyle w:val="ListParagraph"/>
        <w:numPr>
          <w:ilvl w:val="0"/>
          <w:numId w:val="1"/>
        </w:numPr>
        <w:spacing w:after="80"/>
        <w:rPr>
          <w:rFonts w:ascii="Calibri" w:cs="Calibri" w:eastAsia="Calibri" w:hAnsi="Calibri"/>
          <w:sz w:val="22"/>
          <w:szCs w:val="22"/>
        </w:rPr>
      </w:pPr>
      <w:r>
        <w:t xml:space="preserve">Revenue: $428 million, up 8.5% year over year and 3% above plan.</w:t>
      </w:r>
    </w:p>
    <w:p>
      <w:pPr>
        <w:pStyle w:val="ListParagraph"/>
        <w:numPr>
          <w:ilvl w:val="0"/>
          <w:numId w:val="1"/>
        </w:numPr>
        <w:spacing w:after="80"/>
        <w:rPr>
          <w:rFonts w:ascii="Calibri" w:cs="Calibri" w:eastAsia="Calibri" w:hAnsi="Calibri"/>
          <w:sz w:val="22"/>
          <w:szCs w:val="22"/>
        </w:rPr>
      </w:pPr>
      <w:r>
        <w:t xml:space="preserve">Gross margin: 31.2%, compared with 30.1% in Q2 FY2025.</w:t>
      </w:r>
    </w:p>
    <w:p>
      <w:pPr>
        <w:pStyle w:val="ListParagraph"/>
        <w:numPr>
          <w:ilvl w:val="0"/>
          <w:numId w:val="1"/>
        </w:numPr>
        <w:spacing w:after="80"/>
        <w:rPr>
          <w:rFonts w:ascii="Calibri" w:cs="Calibri" w:eastAsia="Calibri" w:hAnsi="Calibri"/>
          <w:sz w:val="22"/>
          <w:szCs w:val="22"/>
        </w:rPr>
      </w:pPr>
      <w:r>
        <w:t xml:space="preserve">Operating profit: $52 million, up 14% year over year.</w:t>
      </w:r>
    </w:p>
    <w:p>
      <w:pPr>
        <w:pStyle w:val="ListParagraph"/>
        <w:numPr>
          <w:ilvl w:val="0"/>
          <w:numId w:val="1"/>
        </w:numPr>
        <w:spacing w:after="80"/>
        <w:rPr>
          <w:rFonts w:ascii="Calibri" w:cs="Calibri" w:eastAsia="Calibri" w:hAnsi="Calibri"/>
          <w:sz w:val="22"/>
          <w:szCs w:val="22"/>
        </w:rPr>
      </w:pPr>
      <w:r>
        <w:t xml:space="preserve">Net income: $36 million, up 11% year over year.</w:t>
      </w:r>
    </w:p>
    <w:p>
      <w:pPr>
        <w:pStyle w:val="ListParagraph"/>
        <w:numPr>
          <w:ilvl w:val="0"/>
          <w:numId w:val="1"/>
        </w:numPr>
        <w:spacing w:after="80"/>
        <w:rPr>
          <w:rFonts w:ascii="Calibri" w:cs="Calibri" w:eastAsia="Calibri" w:hAnsi="Calibri"/>
          <w:sz w:val="22"/>
          <w:szCs w:val="22"/>
        </w:rPr>
      </w:pPr>
      <w:r>
        <w:t xml:space="preserve">EBITDA: $68 million, representing a 15.9% margin.</w:t>
      </w:r>
    </w:p>
    <w:p>
      <w:pPr>
        <w:pStyle w:val="ListParagraph"/>
        <w:numPr>
          <w:ilvl w:val="0"/>
          <w:numId w:val="1"/>
        </w:numPr>
        <w:spacing w:after="80"/>
        <w:rPr>
          <w:rFonts w:ascii="Calibri" w:cs="Calibri" w:eastAsia="Calibri" w:hAnsi="Calibri"/>
          <w:sz w:val="22"/>
          <w:szCs w:val="22"/>
        </w:rPr>
      </w:pPr>
      <w:r>
        <w:t xml:space="preserve">Free cash flow: $41 million, up from $32 million in the same quarter last year.</w:t>
      </w:r>
    </w:p>
    <w:p>
      <w:pPr>
        <w:pStyle w:val="ListParagraph"/>
        <w:numPr>
          <w:ilvl w:val="0"/>
          <w:numId w:val="1"/>
        </w:numPr>
        <w:spacing w:after="80"/>
        <w:rPr>
          <w:rFonts w:ascii="Calibri" w:cs="Calibri" w:eastAsia="Calibri" w:hAnsi="Calibri"/>
          <w:sz w:val="22"/>
          <w:szCs w:val="22"/>
        </w:rPr>
      </w:pPr>
      <w:r>
        <w:t xml:space="preserve">Digital sales increased 18% year over year and now represent 34% of total revenue.</w:t>
      </w:r>
    </w:p>
    <w:p>
      <w:pPr>
        <w:pStyle w:val="ListParagraph"/>
        <w:numPr>
          <w:ilvl w:val="0"/>
          <w:numId w:val="1"/>
        </w:numPr>
        <w:spacing w:after="80"/>
        <w:rPr>
          <w:rFonts w:ascii="Calibri" w:cs="Calibri" w:eastAsia="Calibri" w:hAnsi="Calibri"/>
          <w:sz w:val="22"/>
          <w:szCs w:val="22"/>
        </w:rPr>
      </w:pPr>
      <w:r>
        <w:t xml:space="preserve">Same-store sales increased 5.2%.</w:t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Market Conditions</w:t>
      </w:r>
    </w:p>
    <w:p>
      <w:pPr>
        <w:pStyle w:val="ListParagraph"/>
        <w:numPr>
          <w:ilvl w:val="0"/>
          <w:numId w:val="1"/>
        </w:numPr>
        <w:spacing w:after="80"/>
        <w:rPr>
          <w:rFonts w:ascii="Calibri" w:cs="Calibri" w:eastAsia="Calibri" w:hAnsi="Calibri"/>
          <w:sz w:val="22"/>
          <w:szCs w:val="22"/>
        </w:rPr>
      </w:pPr>
      <w:r>
        <w:t xml:space="preserve">Consumer spending remained cautious due to persistent inflation and higher household costs.</w:t>
      </w:r>
    </w:p>
    <w:p>
      <w:pPr>
        <w:pStyle w:val="ListParagraph"/>
        <w:numPr>
          <w:ilvl w:val="0"/>
          <w:numId w:val="1"/>
        </w:numPr>
        <w:spacing w:after="80"/>
        <w:rPr>
          <w:rFonts w:ascii="Calibri" w:cs="Calibri" w:eastAsia="Calibri" w:hAnsi="Calibri"/>
          <w:sz w:val="22"/>
          <w:szCs w:val="22"/>
        </w:rPr>
      </w:pPr>
      <w:r>
        <w:t xml:space="preserve">Retail demand was strongest in essential goods and value-oriented product categories.</w:t>
      </w:r>
    </w:p>
    <w:p>
      <w:pPr>
        <w:pStyle w:val="ListParagraph"/>
        <w:numPr>
          <w:ilvl w:val="0"/>
          <w:numId w:val="1"/>
        </w:numPr>
        <w:spacing w:after="80"/>
        <w:rPr>
          <w:rFonts w:ascii="Calibri" w:cs="Calibri" w:eastAsia="Calibri" w:hAnsi="Calibri"/>
          <w:sz w:val="22"/>
          <w:szCs w:val="22"/>
        </w:rPr>
      </w:pPr>
      <w:r>
        <w:t xml:space="preserve">Competitive pricing pressure increased, particularly in electronics and household products.</w:t>
      </w:r>
    </w:p>
    <w:p>
      <w:pPr>
        <w:pStyle w:val="ListParagraph"/>
        <w:numPr>
          <w:ilvl w:val="0"/>
          <w:numId w:val="1"/>
        </w:numPr>
        <w:spacing w:after="80"/>
        <w:rPr>
          <w:rFonts w:ascii="Calibri" w:cs="Calibri" w:eastAsia="Calibri" w:hAnsi="Calibri"/>
          <w:sz w:val="22"/>
          <w:szCs w:val="22"/>
        </w:rPr>
      </w:pPr>
      <w:r>
        <w:t xml:space="preserve">Supply-chain conditions improved compared with the previous quarter, reducing average inventory lead times by 9%.</w:t>
      </w:r>
    </w:p>
    <w:p>
      <w:pPr>
        <w:pStyle w:val="ListParagraph"/>
        <w:numPr>
          <w:ilvl w:val="0"/>
          <w:numId w:val="1"/>
        </w:numPr>
        <w:spacing w:after="80"/>
        <w:rPr>
          <w:rFonts w:ascii="Calibri" w:cs="Calibri" w:eastAsia="Calibri" w:hAnsi="Calibri"/>
          <w:sz w:val="22"/>
          <w:szCs w:val="22"/>
        </w:rPr>
      </w:pPr>
      <w:r>
        <w:t xml:space="preserve">Input and logistics costs remained elevated but showed signs of stabilisation.</w:t>
      </w:r>
    </w:p>
    <w:p>
      <w:pPr>
        <w:pStyle w:val="ListParagraph"/>
        <w:numPr>
          <w:ilvl w:val="0"/>
          <w:numId w:val="1"/>
        </w:numPr>
        <w:spacing w:after="80"/>
        <w:rPr>
          <w:rFonts w:ascii="Calibri" w:cs="Calibri" w:eastAsia="Calibri" w:hAnsi="Calibri"/>
          <w:sz w:val="22"/>
          <w:szCs w:val="22"/>
        </w:rPr>
      </w:pPr>
      <w:r>
        <w:t xml:space="preserve">Online retail continued to grow faster than physical-store sales.</w:t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Business Highlights</w:t>
      </w:r>
    </w:p>
    <w:p>
      <w:pPr>
        <w:pStyle w:val="ListParagraph"/>
        <w:numPr>
          <w:ilvl w:val="0"/>
          <w:numId w:val="1"/>
        </w:numPr>
        <w:spacing w:after="80"/>
        <w:rPr>
          <w:rFonts w:ascii="Calibri" w:cs="Calibri" w:eastAsia="Calibri" w:hAnsi="Calibri"/>
          <w:sz w:val="22"/>
          <w:szCs w:val="22"/>
        </w:rPr>
      </w:pPr>
      <w:r>
        <w:t xml:space="preserve">Opened 12 new stores in high-growth suburban and tier-2 markets.</w:t>
      </w:r>
    </w:p>
    <w:p>
      <w:pPr>
        <w:pStyle w:val="ListParagraph"/>
        <w:numPr>
          <w:ilvl w:val="0"/>
          <w:numId w:val="1"/>
        </w:numPr>
        <w:spacing w:after="80"/>
        <w:rPr>
          <w:rFonts w:ascii="Calibri" w:cs="Calibri" w:eastAsia="Calibri" w:hAnsi="Calibri"/>
          <w:sz w:val="22"/>
          <w:szCs w:val="22"/>
        </w:rPr>
      </w:pPr>
      <w:r>
        <w:t xml:space="preserve">Customer loyalty membership increased 16% year over year to 8.4 million members.</w:t>
      </w:r>
    </w:p>
    <w:p>
      <w:pPr>
        <w:pStyle w:val="ListParagraph"/>
        <w:numPr>
          <w:ilvl w:val="0"/>
          <w:numId w:val="1"/>
        </w:numPr>
        <w:spacing w:after="80"/>
        <w:rPr>
          <w:rFonts w:ascii="Calibri" w:cs="Calibri" w:eastAsia="Calibri" w:hAnsi="Calibri"/>
          <w:sz w:val="22"/>
          <w:szCs w:val="22"/>
        </w:rPr>
      </w:pPr>
      <w:r>
        <w:t xml:space="preserve">AI-assisted inventory forecasting was expanded to 70% of stores, reducing stockouts by approximately 12%.</w:t>
      </w:r>
    </w:p>
    <w:p>
      <w:pPr>
        <w:pStyle w:val="ListParagraph"/>
        <w:numPr>
          <w:ilvl w:val="0"/>
          <w:numId w:val="1"/>
        </w:numPr>
        <w:spacing w:after="80"/>
        <w:rPr>
          <w:rFonts w:ascii="Calibri" w:cs="Calibri" w:eastAsia="Calibri" w:hAnsi="Calibri"/>
          <w:sz w:val="22"/>
          <w:szCs w:val="22"/>
        </w:rPr>
      </w:pPr>
      <w:r>
        <w:t xml:space="preserve">Private-label products grew 13% year over year and now account for 22% of sales.</w:t>
      </w:r>
    </w:p>
    <w:p>
      <w:pPr>
        <w:pStyle w:val="ListParagraph"/>
        <w:numPr>
          <w:ilvl w:val="0"/>
          <w:numId w:val="1"/>
        </w:numPr>
        <w:spacing w:after="80"/>
        <w:rPr>
          <w:rFonts w:ascii="Calibri" w:cs="Calibri" w:eastAsia="Calibri" w:hAnsi="Calibri"/>
          <w:sz w:val="22"/>
          <w:szCs w:val="22"/>
        </w:rPr>
      </w:pPr>
      <w:r>
        <w:t xml:space="preserve">Employee productivity initiatives generated approximately $6 million in annualised savings.</w:t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Risks and Outlook</w:t>
      </w:r>
    </w:p>
    <w:p>
      <w:pPr>
        <w:pStyle w:val="ListParagraph"/>
        <w:numPr>
          <w:ilvl w:val="0"/>
          <w:numId w:val="1"/>
        </w:numPr>
        <w:spacing w:after="80"/>
        <w:rPr>
          <w:rFonts w:ascii="Calibri" w:cs="Calibri" w:eastAsia="Calibri" w:hAnsi="Calibri"/>
          <w:sz w:val="22"/>
          <w:szCs w:val="22"/>
        </w:rPr>
      </w:pPr>
      <w:r>
        <w:t xml:space="preserve">Management expects continued pressure from cautious consumer spending and competitive pricing.</w:t>
      </w:r>
    </w:p>
    <w:p>
      <w:pPr>
        <w:pStyle w:val="ListParagraph"/>
        <w:numPr>
          <w:ilvl w:val="0"/>
          <w:numId w:val="1"/>
        </w:numPr>
        <w:spacing w:after="80"/>
        <w:rPr>
          <w:rFonts w:ascii="Calibri" w:cs="Calibri" w:eastAsia="Calibri" w:hAnsi="Calibri"/>
          <w:sz w:val="22"/>
          <w:szCs w:val="22"/>
        </w:rPr>
      </w:pPr>
      <w:r>
        <w:t xml:space="preserve">Foreign exchange volatility and input costs remain key risks for the second half of the year.</w:t>
      </w:r>
    </w:p>
    <w:p>
      <w:pPr>
        <w:pStyle w:val="ListParagraph"/>
        <w:numPr>
          <w:ilvl w:val="0"/>
          <w:numId w:val="1"/>
        </w:numPr>
        <w:spacing w:after="80"/>
        <w:rPr>
          <w:rFonts w:ascii="Calibri" w:cs="Calibri" w:eastAsia="Calibri" w:hAnsi="Calibri"/>
          <w:sz w:val="22"/>
          <w:szCs w:val="22"/>
        </w:rPr>
      </w:pPr>
      <w:r>
        <w:t xml:space="preserve">Full-year revenue growth guidance remains at 7%–9%.</w:t>
      </w:r>
    </w:p>
    <w:p>
      <w:pPr>
        <w:pStyle w:val="ListParagraph"/>
        <w:numPr>
          <w:ilvl w:val="0"/>
          <w:numId w:val="1"/>
        </w:numPr>
        <w:spacing w:after="80"/>
        <w:rPr>
          <w:rFonts w:ascii="Calibri" w:cs="Calibri" w:eastAsia="Calibri" w:hAnsi="Calibri"/>
          <w:sz w:val="22"/>
          <w:szCs w:val="22"/>
        </w:rPr>
      </w:pPr>
      <w:r>
        <w:t xml:space="preserve">Management expects operating margins to improve modestly in the second half as supply-chain efficiencies and productivity initiatives take effect.</w:t>
      </w:r>
    </w:p>
    <w:p>
      <w:pPr>
        <w:pStyle w:val="ListParagraph"/>
        <w:numPr>
          <w:ilvl w:val="0"/>
          <w:numId w:val="1"/>
        </w:numPr>
        <w:spacing w:after="80"/>
        <w:rPr>
          <w:rFonts w:ascii="Calibri" w:cs="Calibri" w:eastAsia="Calibri" w:hAnsi="Calibri"/>
          <w:sz w:val="22"/>
          <w:szCs w:val="22"/>
        </w:rPr>
      </w:pPr>
      <w:r>
        <w:t xml:space="preserve">Capital expenditure remains focused on digital commerce, store expansion, and technology modernization.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2026-08-27T06:47:11.599Z</dcterms:created>
  <dcterms:modified xsi:type="dcterms:W3CDTF">2026-08-27T06:47:11.599Z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