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F2747"/>
          <w:sz w:val="40"/>
        </w:rPr>
        <w:t>Política de Seguridad de la Información</w:t>
      </w:r>
    </w:p>
    <w:p>
      <w:pPr>
        <w:jc w:val="center"/>
      </w:pPr>
      <w:r>
        <w:rPr>
          <w:color w:val="50627A"/>
          <w:sz w:val="18"/>
        </w:rPr>
        <w:t>OpenTrust Demo Services, S.L. · POL-SGSI-001 · Versión 2.1</w:t>
      </w:r>
    </w:p>
    <w:p>
      <w:pPr>
        <w:spacing w:after="120"/>
        <w:jc w:val="center"/>
      </w:pPr>
      <w:r>
        <w:rPr>
          <w:b/>
          <w:color w:val="B03232"/>
          <w:sz w:val="20"/>
        </w:rPr>
        <w:t>DATOS DE DEMOSTRACIÓN - ORGANIZACIÓN FICTICIA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POL-SGSI-001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Propietario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Dirección / CISO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2.1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Fecha de aprobación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15/01/2026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Próxima revisión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15/01/2027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Clasificación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Uso interno - Demo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Controles relacionados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5.2, A.5.1, A.5.2, A.5.36</w:t>
            </w:r>
          </w:p>
        </w:tc>
      </w:tr>
    </w:tbl>
    <w:p/>
    <w:p>
      <w:pPr>
        <w:pStyle w:val="Heading1"/>
        <w:spacing w:before="160" w:after="80"/>
      </w:pPr>
      <w:r>
        <w:rPr>
          <w:color w:val="0F2747"/>
        </w:rPr>
        <w:t>1. Objeto</w:t>
      </w:r>
    </w:p>
    <w:p>
      <w:pPr>
        <w:spacing w:after="80"/>
      </w:pPr>
      <w:r>
        <w:rPr>
          <w:sz w:val="18"/>
        </w:rPr>
        <w:t>Definir los principios, responsabilidades y reglas generales para proteger la confidencialidad, integridad, disponibilidad, autenticidad y trazabilidad de la información de OpenTrust Demo Services, S.L.</w:t>
      </w:r>
    </w:p>
    <w:p>
      <w:pPr>
        <w:pStyle w:val="Heading1"/>
        <w:spacing w:before="160" w:after="80"/>
      </w:pPr>
      <w:r>
        <w:rPr>
          <w:color w:val="0F2747"/>
        </w:rPr>
        <w:t>2. Alcance</w:t>
      </w:r>
    </w:p>
    <w:p>
      <w:pPr>
        <w:spacing w:after="80"/>
      </w:pPr>
      <w:r>
        <w:rPr>
          <w:sz w:val="18"/>
        </w:rPr>
        <w:t>Aplica a las sedes de Madrid y Barcelona, personal remoto, servicios cloud, aplicaciones corporativas, infraestructura de red, proveedores críticos y datos tratados por la organización ficticia.</w:t>
      </w:r>
    </w:p>
    <w:p>
      <w:pPr>
        <w:pStyle w:val="Heading1"/>
        <w:spacing w:before="160" w:after="80"/>
      </w:pPr>
      <w:r>
        <w:rPr>
          <w:color w:val="0F2747"/>
        </w:rPr>
        <w:t>3. Contexto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Plataforma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Criticidad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Protección principal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Microsoft 365 / Entra ID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Identidad y colaboración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MFA, Conditional Access, PIM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Azure West Europe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Producción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NSG, WAF, Key Vault, Sentinel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Azure North Europe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Continuidad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Réplicas, backups y DR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Cloudflare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DNS, CDN, WAF y Zero Trust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WAF gestionado, rate limiting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GitHub Enterprise Cloud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Código y CI/CD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SSO, branch protection, Dependabot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4. Principios</w:t>
      </w:r>
    </w:p>
    <w:p>
      <w:pPr>
        <w:pStyle w:val="ListBullet"/>
        <w:spacing w:after="40"/>
      </w:pPr>
      <w:r>
        <w:rPr>
          <w:sz w:val="18"/>
        </w:rPr>
        <w:t>Gestión de riesgos basada en el impacto sobre servicios, datos, clientes y obligaciones.</w:t>
      </w:r>
    </w:p>
    <w:p>
      <w:pPr>
        <w:pStyle w:val="ListBullet"/>
        <w:spacing w:after="40"/>
      </w:pPr>
      <w:r>
        <w:rPr>
          <w:sz w:val="18"/>
        </w:rPr>
        <w:t>Acceso bajo mínimo privilegio, necesidad de negocio, MFA y revisión periódica.</w:t>
      </w:r>
    </w:p>
    <w:p>
      <w:pPr>
        <w:pStyle w:val="ListBullet"/>
        <w:spacing w:after="40"/>
      </w:pPr>
      <w:r>
        <w:rPr>
          <w:sz w:val="18"/>
        </w:rPr>
        <w:t>Seguridad integrada en proyectos, cambios, compras y ciclo de vida de desarrollo.</w:t>
      </w:r>
    </w:p>
    <w:p>
      <w:pPr>
        <w:pStyle w:val="ListBullet"/>
        <w:spacing w:after="40"/>
      </w:pPr>
      <w:r>
        <w:rPr>
          <w:sz w:val="18"/>
        </w:rPr>
        <w:t>Registro y monitorización de actividades relevantes en Microsoft Sentinel.</w:t>
      </w:r>
    </w:p>
    <w:p>
      <w:pPr>
        <w:pStyle w:val="ListBullet"/>
        <w:spacing w:after="40"/>
      </w:pPr>
      <w:r>
        <w:rPr>
          <w:sz w:val="18"/>
        </w:rPr>
        <w:t>Copias de seguridad protegidas, inmutables y sometidas a pruebas de restauración.</w:t>
      </w:r>
    </w:p>
    <w:p>
      <w:pPr>
        <w:pStyle w:val="ListBullet"/>
        <w:spacing w:after="40"/>
      </w:pPr>
      <w:r>
        <w:rPr>
          <w:sz w:val="18"/>
        </w:rPr>
        <w:t>Gestión de incidentes con preservación de evidencias y lecciones aprendidas.</w:t>
      </w:r>
    </w:p>
    <w:p>
      <w:pPr>
        <w:pStyle w:val="ListBullet"/>
        <w:spacing w:after="40"/>
      </w:pPr>
      <w:r>
        <w:rPr>
          <w:sz w:val="18"/>
        </w:rPr>
        <w:t>Evaluación previa y seguimiento anual de proveedores críticos.</w:t>
      </w:r>
    </w:p>
    <w:p>
      <w:pPr>
        <w:pStyle w:val="Heading1"/>
        <w:spacing w:before="160" w:after="80"/>
      </w:pPr>
      <w:r>
        <w:rPr>
          <w:color w:val="0F2747"/>
        </w:rPr>
        <w:t>5. Roles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Dirección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Aprobar política, recursos, objetivos y apetito de riesgo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Actas de revisión y decisiones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CISO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Mantener el SGSI, coordinar riesgos y auditorías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SoA, riesgos, informes, KPIs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IT / Infraestructura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Operar identidades, redes, backups y plataformas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Registros operativos y cambios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SOC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Monitorizar, investigar y responder a incidentes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Casos SIEM, bitácoras y post-mortem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Propietarios de activos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Aprobar accesos, clasificación y tratamientos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Aprobaciones y revisiones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Usuarios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Cumplir políticas y notificar eventos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Aceptación, formación y reportes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6. Objetivos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Resultado demo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Cierre de vulnerabilidades críticas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≤ 15 días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83%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Parcial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Recertificación de accesos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100% trimestral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92%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Parcial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Formación anual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≥ 95%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91%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Parcial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Restauraciones correctas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Cobertura de logs críticos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≥ 95%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96%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Cumple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7. Excepciones</w:t>
      </w:r>
    </w:p>
    <w:p>
      <w:pPr>
        <w:spacing w:after="80"/>
      </w:pPr>
      <w:r>
        <w:rPr>
          <w:sz w:val="18"/>
        </w:rPr>
        <w:t>Toda excepción requiere propietario, justificación, evaluación de riesgo, control compensatorio, aprobación del CISO y fecha de caducidad no superior a 180 días.</w:t>
      </w:r>
    </w:p>
    <w:p>
      <w:pPr>
        <w:pStyle w:val="Heading1"/>
        <w:spacing w:before="160" w:after="80"/>
      </w:pPr>
      <w:r>
        <w:rPr>
          <w:color w:val="0F2747"/>
        </w:rPr>
        <w:t>8. Cumplimiento y revisión</w:t>
      </w:r>
    </w:p>
    <w:p>
      <w:pPr>
        <w:spacing w:after="80"/>
      </w:pPr>
      <w:r>
        <w:rPr>
          <w:sz w:val="18"/>
        </w:rPr>
        <w:t>La política se revisa al menos anualmente y tras incidentes graves, cambios regulatorios o modificaciones significativas de la arquitectura. Los incumplimientos generan acciones correctivas.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8C"/>
        <w:sz w:val="15"/>
      </w:rPr>
      <w:t>POL-SGSI-001 · v2.1 · DATOS DE DEMOSTRACIÓN - ORGANIZACIÓN FICTICIA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88C"/>
        <w:sz w:val="15"/>
      </w:rPr>
      <w:t>Auditoria365 · OpenTrust Demo Services, S.L. · DATOS DE DEMOSTRACIÓN - ORGANIZACIÓN FICTICIA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