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0F2747"/>
          <w:sz w:val="40"/>
        </w:rPr>
        <w:t>Procedimiento de Gestión de Accesos</w:t>
      </w:r>
    </w:p>
    <w:p>
      <w:pPr>
        <w:jc w:val="center"/>
      </w:pPr>
      <w:r>
        <w:rPr>
          <w:color w:val="50627A"/>
          <w:sz w:val="18"/>
        </w:rPr>
        <w:t>OpenTrust Demo Services, S.L. · PRO-ACC-004 · Versión 1.4</w:t>
      </w:r>
    </w:p>
    <w:p>
      <w:pPr>
        <w:spacing w:after="120"/>
        <w:jc w:val="center"/>
      </w:pPr>
      <w:r>
        <w:rPr>
          <w:b/>
          <w:color w:val="B03232"/>
          <w:sz w:val="20"/>
        </w:rPr>
        <w:t>DATOS DE DEMOSTRACIÓN - ORGANIZACIÓN FICTICIA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PRO-ACC-004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Propietario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CISO / IT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Versión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1.4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Fecha de aprobación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15/01/2026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Próxima revisión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15/01/2027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Clasificación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Uso interno - Demo</w:t>
            </w:r>
          </w:p>
        </w:tc>
      </w:tr>
      <w:tr>
        <w:tc>
          <w:tcPr>
            <w:tcW w:type="dxa" w:w="5227"/>
            <w:shd w:fill="EAF2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7"/>
              </w:rPr>
              <w:t>Controles relacionados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A.5.15, A.5.16, A.5.17, A.5.18, A.8.2, A.8.5</w:t>
            </w:r>
          </w:p>
        </w:tc>
      </w:tr>
    </w:tbl>
    <w:p/>
    <w:p>
      <w:pPr>
        <w:pStyle w:val="Heading1"/>
        <w:spacing w:before="160" w:after="80"/>
      </w:pPr>
      <w:r>
        <w:rPr>
          <w:color w:val="0F2747"/>
        </w:rPr>
        <w:t>1. Arquitectura de identidad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485"/>
            <w:shd w:fill="0F2747"/>
          </w:tcPr>
          <w:p>
            <w:r>
              <w:rPr>
                <w:b/>
                <w:color w:val="FFFFFF"/>
                <w:sz w:val="16"/>
              </w:rPr>
              <w:t>Configuración demo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Microsoft Entra ID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Directorio central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SSO, MFA, Conditional Access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PIM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Privilegios temporales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Activación máxima 4 horas, aprobación CISO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Intune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Cumplimiento de dispositivos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Cifrado, EDR, parcheado y PIN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Cloudflare Access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Acceso Zero Trust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Validación de identidad y dispositivo</w:t>
            </w:r>
          </w:p>
        </w:tc>
      </w:tr>
      <w:tr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Azure Bastion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Administración cloud</w:t>
            </w:r>
          </w:p>
        </w:tc>
        <w:tc>
          <w:tcPr>
            <w:tcW w:type="dxa" w:w="3485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Sin IP pública y grabación de sesiones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2. Flujo de alta</w:t>
      </w:r>
    </w:p>
    <w:p>
      <w:pPr>
        <w:pStyle w:val="ListNumber"/>
        <w:spacing w:after="40"/>
      </w:pPr>
      <w:r>
        <w:rPr>
          <w:sz w:val="18"/>
        </w:rPr>
        <w:t>RRHH registra el alta con fecha, unidad y responsable.</w:t>
      </w:r>
    </w:p>
    <w:p>
      <w:pPr>
        <w:pStyle w:val="ListNumber"/>
        <w:spacing w:after="40"/>
      </w:pPr>
      <w:r>
        <w:rPr>
          <w:sz w:val="18"/>
        </w:rPr>
        <w:t>El responsable solicita sistemas y roles mediante ticket.</w:t>
      </w:r>
    </w:p>
    <w:p>
      <w:pPr>
        <w:pStyle w:val="ListNumber"/>
        <w:spacing w:after="40"/>
      </w:pPr>
      <w:r>
        <w:rPr>
          <w:sz w:val="18"/>
        </w:rPr>
        <w:t>El propietario del sistema aprueba el acceso.</w:t>
      </w:r>
    </w:p>
    <w:p>
      <w:pPr>
        <w:pStyle w:val="ListNumber"/>
        <w:spacing w:after="40"/>
      </w:pPr>
      <w:r>
        <w:rPr>
          <w:sz w:val="18"/>
        </w:rPr>
        <w:t>IT crea la identidad, activa MFA y asigna grupos mínimos.</w:t>
      </w:r>
    </w:p>
    <w:p>
      <w:pPr>
        <w:pStyle w:val="ListNumber"/>
        <w:spacing w:after="40"/>
      </w:pPr>
      <w:r>
        <w:rPr>
          <w:sz w:val="18"/>
        </w:rPr>
        <w:t>El usuario acepta políticas y completa formación inicial.</w:t>
      </w:r>
    </w:p>
    <w:p>
      <w:pPr>
        <w:pStyle w:val="ListNumber"/>
        <w:spacing w:after="40"/>
      </w:pPr>
      <w:r>
        <w:rPr>
          <w:sz w:val="18"/>
        </w:rPr>
        <w:t>IT conserva ticket, aprobaciones y registro de provisión.</w:t>
      </w:r>
    </w:p>
    <w:p>
      <w:pPr>
        <w:pStyle w:val="Heading1"/>
        <w:spacing w:before="160" w:after="80"/>
      </w:pPr>
      <w:r>
        <w:rPr>
          <w:color w:val="0F2747"/>
        </w:rPr>
        <w:t>3. Cambios y privilegios</w:t>
      </w:r>
    </w:p>
    <w:p>
      <w:pPr>
        <w:spacing w:after="80"/>
      </w:pPr>
      <w:r>
        <w:rPr>
          <w:sz w:val="18"/>
        </w:rPr>
        <w:t>Los cambios de función requieren nueva aprobación. Los privilegios administrativos se conceden mediante PIM, son temporales y quedan registrados en Sentinel.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Tipo de acceso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Aprobación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2613"/>
            <w:shd w:fill="0F2747"/>
          </w:tcPr>
          <w:p>
            <w:r>
              <w:rPr>
                <w:b/>
                <w:color w:val="FFFFFF"/>
                <w:sz w:val="16"/>
              </w:rPr>
              <w:t>Revisión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Usuario estándar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+ propietario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Mientras exista necesidad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Semestral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Aplicación crítica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Propietario + Seguridad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Máx. 12 meses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Trimestral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Administrador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CISO + propietario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Just-in-time, máx. 4 h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Mensual</w:t>
            </w:r>
          </w:p>
        </w:tc>
      </w:tr>
      <w:tr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Proveedor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Responsable interno + CISO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Fecha fin obligatoria</w:t>
            </w:r>
          </w:p>
        </w:tc>
        <w:tc>
          <w:tcPr>
            <w:tcW w:type="dxa" w:w="2613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Mensual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4. Baja</w:t>
      </w:r>
    </w:p>
    <w:p>
      <w:pPr>
        <w:spacing w:after="80"/>
      </w:pPr>
      <w:r>
        <w:rPr>
          <w:sz w:val="18"/>
        </w:rPr>
        <w:t>RRHH comunica la baja antes de la fecha efectiva. IT bloquea la cuenta en un máximo de 4 horas, revoca sesiones, tokens y accesos VPN/SASE, y transfiere la información al responsable.</w:t>
      </w:r>
    </w:p>
    <w:p>
      <w:pPr>
        <w:pStyle w:val="Heading1"/>
        <w:spacing w:before="160" w:after="80"/>
      </w:pPr>
      <w:r>
        <w:rPr>
          <w:color w:val="0F2747"/>
        </w:rPr>
        <w:t>5. Recertificación Q3 2026 - muestra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0F2747"/>
          </w:tcPr>
          <w:p>
            <w:r>
              <w:rPr>
                <w:b/>
                <w:color w:val="FFFFFF"/>
                <w:sz w:val="16"/>
              </w:rPr>
              <w:t>Identidad</w:t>
            </w:r>
          </w:p>
        </w:tc>
        <w:tc>
          <w:tcPr>
            <w:tcW w:type="dxa" w:w="2091"/>
            <w:shd w:fill="0F2747"/>
          </w:tcPr>
          <w:p>
            <w:r>
              <w:rPr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2091"/>
            <w:shd w:fill="0F2747"/>
          </w:tcPr>
          <w:p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2091"/>
            <w:shd w:fill="0F2747"/>
          </w:tcPr>
          <w:p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2091"/>
            <w:shd w:fill="0F2747"/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ana.garcia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Auditoria365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Auditor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Mantener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Necesidad vigente</w:t>
            </w:r>
          </w:p>
        </w:tc>
      </w:tr>
      <w:tr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luis.santos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Entra ID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Administrador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Mantener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PIM y MFA</w:t>
            </w:r>
          </w:p>
        </w:tc>
      </w:tr>
      <w:tr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marta.ruiz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SharePoint GRC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Lector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Retirar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Cambio de función</w:t>
            </w:r>
          </w:p>
        </w:tc>
      </w:tr>
      <w:tr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ext.audit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Auditoria365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Auditor externo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Limitar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Caduca 30/09/2026</w:t>
            </w:r>
          </w:p>
        </w:tc>
      </w:tr>
      <w:tr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dev.admin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Azure Producción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Contributor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Modificar</w:t>
            </w:r>
          </w:p>
        </w:tc>
        <w:tc>
          <w:tcPr>
            <w:tcW w:type="dxa" w:w="2091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5"/>
              </w:rPr>
              <w:t>Separar producción</w:t>
            </w:r>
          </w:p>
        </w:tc>
      </w:tr>
    </w:tbl>
    <w:p>
      <w:pPr>
        <w:pStyle w:val="Heading1"/>
        <w:spacing w:before="160" w:after="80"/>
      </w:pPr>
      <w:r>
        <w:rPr>
          <w:color w:val="0F2747"/>
        </w:rPr>
        <w:t>6. Evidencias y métricas</w:t>
      </w:r>
    </w:p>
    <w:p>
      <w:pPr>
        <w:pStyle w:val="ListBullet"/>
        <w:spacing w:after="40"/>
      </w:pPr>
      <w:r>
        <w:rPr>
          <w:sz w:val="18"/>
        </w:rPr>
        <w:t>Tickets de alta, cambio y baja con aprobaciones.</w:t>
      </w:r>
    </w:p>
    <w:p>
      <w:pPr>
        <w:pStyle w:val="ListBullet"/>
        <w:spacing w:after="40"/>
      </w:pPr>
      <w:r>
        <w:rPr>
          <w:sz w:val="18"/>
        </w:rPr>
        <w:t>Exportación de grupos, roles y activaciones PIM.</w:t>
      </w:r>
    </w:p>
    <w:p>
      <w:pPr>
        <w:pStyle w:val="ListBullet"/>
        <w:spacing w:after="40"/>
      </w:pPr>
      <w:r>
        <w:rPr>
          <w:sz w:val="18"/>
        </w:rPr>
        <w:t>Informe trimestral de recertificación.</w:t>
      </w:r>
    </w:p>
    <w:p>
      <w:pPr>
        <w:pStyle w:val="ListBullet"/>
        <w:spacing w:after="40"/>
      </w:pPr>
      <w:r>
        <w:rPr>
          <w:sz w:val="18"/>
        </w:rPr>
        <w:t>KPI de bajas en SLA ≥ 98%; resultado demo: 100%.</w:t>
      </w:r>
    </w:p>
    <w:p>
      <w:pPr>
        <w:pStyle w:val="ListBullet"/>
        <w:spacing w:after="40"/>
      </w:pPr>
      <w:r>
        <w:rPr>
          <w:sz w:val="18"/>
        </w:rPr>
        <w:t>KPI de cuentas huérfanas = 0; resultado demo: 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88C"/>
        <w:sz w:val="15"/>
      </w:rPr>
      <w:t>PRO-ACC-004 · v1.4 · DATOS DE DEMOSTRACIÓN - ORGANIZACIÓN FICTICIA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88C"/>
        <w:sz w:val="15"/>
      </w:rPr>
      <w:t>Auditoria365 · OpenTrust Demo Services, S.L. · DATOS DE DEMOSTRACIÓN - ORGANIZACIÓN FICTICIA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