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F2747"/>
          <w:sz w:val="40"/>
        </w:rPr>
        <w:t>Plan de Respuesta a Incidentes</w:t>
      </w:r>
    </w:p>
    <w:p>
      <w:pPr>
        <w:jc w:val="center"/>
      </w:pPr>
      <w:r>
        <w:rPr>
          <w:color w:val="50627A"/>
          <w:sz w:val="18"/>
        </w:rPr>
        <w:t>OpenTrust Demo Services, S.L. · PLN-INC-003 · Versión 1.3</w:t>
      </w:r>
    </w:p>
    <w:p>
      <w:pPr>
        <w:spacing w:after="120"/>
        <w:jc w:val="center"/>
      </w:pPr>
      <w:r>
        <w:rPr>
          <w:b/>
          <w:color w:val="B03232"/>
          <w:sz w:val="20"/>
        </w:rPr>
        <w:t>DATOS DE DEMOSTRACIÓN - ORGANIZACIÓN FICTICIA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PLN-INC-003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Propietario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SOC / CISO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1.3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Fecha de aprobación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15/01/2026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Próxima revisión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15/01/2027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Clasificación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Uso interno - Demo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Controles relacionados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A.5.24, A.5.25, A.5.26, A.5.27, A.5.28</w:t>
            </w:r>
          </w:p>
        </w:tc>
      </w:tr>
    </w:tbl>
    <w:p/>
    <w:p>
      <w:pPr>
        <w:pStyle w:val="Heading1"/>
        <w:spacing w:before="160" w:after="80"/>
      </w:pPr>
      <w:r>
        <w:rPr>
          <w:color w:val="0F2747"/>
        </w:rPr>
        <w:t>1. Organización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Contacto demo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Incident Commander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Dirigir la respuesta y decisiones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CISO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SOC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Detección, análisis y contención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soc@demo.invalid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Infraestructura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Recuperación y cambios técnicos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infra@demo.invalid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Legal / DPO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Notificación y privacidad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legal@demo.invalid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Comunicación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Mensajes internos y externos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comms@demo.invalid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2. Clasificación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Activación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Notificación interna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Crítica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Ransomware, fuga masiva, caída total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Inmediata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Dirección ≤ 30 min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Cuenta privilegiada comprometida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≤ 15 min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CISO ≤ 1 h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Malware contenido, exposición limitada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≤ 1 h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≤ 4 h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Baja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Evento sin impacto confirmado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Jornada laboral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Informe semanal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3. Proceso operativo</w:t>
      </w:r>
    </w:p>
    <w:p>
      <w:pPr>
        <w:pStyle w:val="ListNumber"/>
        <w:spacing w:after="40"/>
      </w:pPr>
      <w:r>
        <w:rPr>
          <w:sz w:val="18"/>
        </w:rPr>
        <w:t>Registrar origen, hora, activos, usuario y descripción.</w:t>
      </w:r>
    </w:p>
    <w:p>
      <w:pPr>
        <w:pStyle w:val="ListNumber"/>
        <w:spacing w:after="40"/>
      </w:pPr>
      <w:r>
        <w:rPr>
          <w:sz w:val="18"/>
        </w:rPr>
        <w:t>Clasificar severidad e impacto potencial.</w:t>
      </w:r>
    </w:p>
    <w:p>
      <w:pPr>
        <w:pStyle w:val="ListNumber"/>
        <w:spacing w:after="40"/>
      </w:pPr>
      <w:r>
        <w:rPr>
          <w:sz w:val="18"/>
        </w:rPr>
        <w:t>Preservar evidencias: logs, memoria, correos, imágenes y hashes.</w:t>
      </w:r>
    </w:p>
    <w:p>
      <w:pPr>
        <w:pStyle w:val="ListNumber"/>
        <w:spacing w:after="40"/>
      </w:pPr>
      <w:r>
        <w:rPr>
          <w:sz w:val="18"/>
        </w:rPr>
        <w:t>Contener sin destruir evidencia: aislamiento EDR, bloqueo de identidad o reglas WAF.</w:t>
      </w:r>
    </w:p>
    <w:p>
      <w:pPr>
        <w:pStyle w:val="ListNumber"/>
        <w:spacing w:after="40"/>
      </w:pPr>
      <w:r>
        <w:rPr>
          <w:sz w:val="18"/>
        </w:rPr>
        <w:t>Erradicar causa raíz y validar la corrección.</w:t>
      </w:r>
    </w:p>
    <w:p>
      <w:pPr>
        <w:pStyle w:val="ListNumber"/>
        <w:spacing w:after="40"/>
      </w:pPr>
      <w:r>
        <w:rPr>
          <w:sz w:val="18"/>
        </w:rPr>
        <w:t>Recuperar servicios según RTO/RPO y monitorizar recurrencia.</w:t>
      </w:r>
    </w:p>
    <w:p>
      <w:pPr>
        <w:pStyle w:val="ListNumber"/>
        <w:spacing w:after="40"/>
      </w:pPr>
      <w:r>
        <w:rPr>
          <w:sz w:val="18"/>
        </w:rPr>
        <w:t>Evaluar notificaciones contractuales y regulatorias.</w:t>
      </w:r>
    </w:p>
    <w:p>
      <w:pPr>
        <w:pStyle w:val="ListNumber"/>
        <w:spacing w:after="40"/>
      </w:pPr>
      <w:r>
        <w:rPr>
          <w:sz w:val="18"/>
        </w:rPr>
        <w:t>Celebrar revisión postincidente y abrir acciones.</w:t>
      </w:r>
    </w:p>
    <w:p>
      <w:pPr>
        <w:pStyle w:val="Heading1"/>
        <w:spacing w:before="160" w:after="80"/>
      </w:pPr>
      <w:r>
        <w:rPr>
          <w:color w:val="0F2747"/>
        </w:rPr>
        <w:t>4. Escenario demo: exposición accidental de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08/07 10:12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Alerta de enlace público en SharePoint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Defender / SOC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Caso abierto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08/07 10:20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Revocación del enlace y sesiones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IT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Contención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08/07 10:45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Revisión de accesos y logs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SOC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12 accesos, todos internos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08/07 12:00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Evaluación de datos personales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DPO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Impacto bajo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09/07 09:30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Regla preventiva y formación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CISO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Acción correctiva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5. Cadena de custodia</w:t>
      </w:r>
    </w:p>
    <w:p>
      <w:pPr>
        <w:spacing w:after="80"/>
      </w:pPr>
      <w:r>
        <w:rPr>
          <w:sz w:val="18"/>
        </w:rPr>
        <w:t>Cada evidencia recibe identificador, fecha/hora, origen, custodio, hash SHA-256 y registro de transferencias. Los originales se conservan en un contenedor inmutable de Azure Blob.</w:t>
      </w:r>
    </w:p>
    <w:p>
      <w:pPr>
        <w:pStyle w:val="Heading1"/>
        <w:spacing w:before="160" w:after="80"/>
      </w:pPr>
      <w:r>
        <w:rPr>
          <w:color w:val="0F2747"/>
        </w:rPr>
        <w:t>6. Simulacros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Mejoras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12/06/2026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Ransomware en endpoint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RTO 2 h 15 min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Automatizar aislamiento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22/03/2026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Compromiso de identidad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Contención 18 min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Mejorar guion de comunicación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8C"/>
        <w:sz w:val="15"/>
      </w:rPr>
      <w:t>PLN-INC-003 · v1.3 · DATOS DE DEMOSTRACIÓN - ORGANIZACIÓN FICTICIA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88C"/>
        <w:sz w:val="15"/>
      </w:rPr>
      <w:t>Auditoria365 · OpenTrust Demo Services, S.L. · DATOS DE DEMOSTRACIÓN - ORGANIZACIÓN FICTICIA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