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720" w:hanging="360"/>
        <w:rPr>
          <w:b/>
          <w:bCs/>
          <w:sz w:val="34"/>
          <w:szCs w:val="34"/>
        </w:rPr>
      </w:pPr>
      <w:bookmarkStart w:id="0" w:name="_GoBack"/>
      <w:bookmarkEnd w:id="0"/>
      <w:r>
        <w:rPr>
          <w:rFonts w:ascii="Arial Unicode MS" w:hAnsi="Arial Unicode MS" w:eastAsia="Arial Unicode MS" w:cs="Arial Unicode MS"/>
          <w:b/>
          <w:bCs/>
          <w:sz w:val="34"/>
          <w:szCs w:val="34"/>
          <w:rtl w:val="0"/>
        </w:rPr>
        <w:t>玛纳斯</w:t>
      </w:r>
    </w:p>
    <w:p/>
    <w:p>
      <w:pPr>
        <w:rPr>
          <w:b/>
          <w:bCs/>
          <w:shd w:val="clear" w:fill="FFF2CC"/>
        </w:rPr>
      </w:pPr>
      <w:r>
        <w:rPr>
          <w:highlight w:val="yellow"/>
          <w:rtl w:val="0"/>
        </w:rPr>
        <w:t>Suyundouke</w:t>
      </w:r>
      <w:r>
        <w:rPr>
          <w:rFonts w:ascii="Arial Unicode MS" w:hAnsi="Arial Unicode MS" w:eastAsia="Arial Unicode MS" w:cs="Arial Unicode MS"/>
          <w:highlight w:val="yellow"/>
          <w:rtl w:val="0"/>
        </w:rPr>
        <w:t>年长传承人1：</w:t>
      </w:r>
      <w:r>
        <w:rPr>
          <w:b/>
          <w:bCs/>
          <w:shd w:val="clear" w:fill="FFF2CC"/>
          <w:rtl w:val="0"/>
        </w:rPr>
        <w:t>A Childhood Built Around Manas</w:t>
      </w:r>
    </w:p>
    <w:p>
      <w:pPr>
        <w:rPr>
          <w:b/>
          <w:bCs/>
          <w:shd w:val="clear" w:fill="FFF2CC"/>
        </w:rPr>
      </w:pPr>
    </w:p>
    <w:p>
      <w:r>
        <w:rPr>
          <w:rtl w:val="0"/>
        </w:rPr>
        <w:t>Summary:</w:t>
      </w:r>
    </w:p>
    <w:p>
      <w:r>
        <w:rPr>
          <w:rtl w:val="0"/>
        </w:rPr>
        <w:t xml:space="preserve">Suyundouke began learning </w:t>
      </w:r>
      <w:r>
        <w:rPr>
          <w:i/>
          <w:iCs/>
          <w:rtl w:val="0"/>
        </w:rPr>
        <w:t>Manas</w:t>
      </w:r>
      <w:r>
        <w:rPr>
          <w:rtl w:val="0"/>
        </w:rPr>
        <w:t xml:space="preserve"> when he was about ten years old. As a child, he was so interested in the epic that he would secretly read it during class, even when his teacher tried to stop him. During school breaks, he performed parts of </w:t>
      </w:r>
      <w:r>
        <w:rPr>
          <w:i/>
          <w:iCs/>
          <w:rtl w:val="0"/>
        </w:rPr>
        <w:t>Manas</w:t>
      </w:r>
      <w:r>
        <w:rPr>
          <w:rtl w:val="0"/>
        </w:rPr>
        <w:t xml:space="preserve"> for his classmates. After listening, his classmates would give him blank sheets of paper, and his mother would sew them together into a handmade notebook. Support from his mother, classmates, and teachers made </w:t>
      </w:r>
      <w:r>
        <w:rPr>
          <w:i/>
          <w:iCs/>
          <w:rtl w:val="0"/>
        </w:rPr>
        <w:t>Manas</w:t>
      </w:r>
      <w:r>
        <w:rPr>
          <w:rtl w:val="0"/>
        </w:rPr>
        <w:t xml:space="preserve"> a strong part of his childhood and encouraged him to keep learning and performing it.</w:t>
      </w:r>
    </w:p>
    <w:p/>
    <w:p>
      <w:r>
        <w:rPr>
          <w:rtl w:val="0"/>
        </w:rPr>
        <w:t>Comment:</w:t>
      </w:r>
    </w:p>
    <w:p>
      <w:r>
        <w:rPr>
          <w:rtl w:val="0"/>
        </w:rPr>
        <w:t>I used to imagine cultural transmission as something formal, with an older expert teaching a younger student. Suyundouke’s story made me see it differently. It showed me that transmission can begin in a very small community. A family, a group of classmates, and one child who wants to keep telling the story can already form a small network that helps a tradition continue.</w:t>
      </w:r>
    </w:p>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shd w:val="clear" w:fill="FFF2CC"/>
        </w:rPr>
      </w:pPr>
      <w:r>
        <w:rPr>
          <w:highlight w:val="yellow"/>
          <w:rtl w:val="0"/>
        </w:rPr>
        <w:t>Suyundouke</w:t>
      </w:r>
      <w:r>
        <w:rPr>
          <w:rFonts w:ascii="Arial Unicode MS" w:hAnsi="Arial Unicode MS" w:eastAsia="Arial Unicode MS" w:cs="Arial Unicode MS"/>
          <w:highlight w:val="yellow"/>
          <w:rtl w:val="0"/>
        </w:rPr>
        <w:t>年长传承人2：</w:t>
      </w:r>
      <w:r>
        <w:rPr>
          <w:b/>
          <w:bCs/>
          <w:shd w:val="clear" w:fill="FFF2CC"/>
          <w:rtl w:val="0"/>
        </w:rPr>
        <w:t>A Book Can Preserve Manas. A Performer Makes It Alive.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shd w:val="clear" w:fill="FFF2CC"/>
        </w:rPr>
      </w:pPr>
    </w:p>
    <w:p>
      <w:pPr>
        <w:rPr>
          <w:b/>
          <w:bCs/>
        </w:rPr>
      </w:pPr>
      <w:r>
        <w:rPr>
          <w:rtl w:val="0"/>
        </w:rPr>
        <w:t>Summary:</w:t>
      </w:r>
    </w:p>
    <w:p>
      <w:r>
        <w:rPr>
          <w:rtl w:val="0"/>
        </w:rPr>
        <w:t xml:space="preserve">Suyundouke explains that written texts have helped preserve </w:t>
      </w:r>
      <w:r>
        <w:rPr>
          <w:i/>
          <w:iCs/>
          <w:rtl w:val="0"/>
        </w:rPr>
        <w:t>Manas</w:t>
      </w:r>
      <w:r>
        <w:rPr>
          <w:rtl w:val="0"/>
        </w:rPr>
        <w:t xml:space="preserve"> more completely, especially parts that might otherwise be lost through oral transmission. But for many Manaschis, the version recorded in a book is still a “static” </w:t>
      </w:r>
      <w:r>
        <w:rPr>
          <w:i/>
          <w:iCs/>
          <w:rtl w:val="0"/>
        </w:rPr>
        <w:t>Manas</w:t>
      </w:r>
      <w:r>
        <w:rPr>
          <w:rtl w:val="0"/>
        </w:rPr>
        <w:t>. The epic becomes “living” through performance, when a Manaschi uses voice, rhythm, facial expressions, eye contact, and movement to bring emotion into the story and connect with the audience.</w:t>
      </w:r>
    </w:p>
    <w:p/>
    <w:p>
      <w:r>
        <w:rPr>
          <w:rtl w:val="0"/>
        </w:rPr>
        <w:t>Comment:</w:t>
      </w:r>
    </w:p>
    <w:p>
      <w:pPr>
        <w:spacing w:before="240" w:after="240"/>
      </w:pPr>
      <w:r>
        <w:rPr>
          <w:rtl w:val="0"/>
        </w:rPr>
        <w:t>I used to think that writing down an oral epic was one of the clearest ways to preserve it. Suyundouke made that idea more complicated for me. A written text can preserve the words, but it cannot fully preserve the experience of hearing them performed. Voice, emotion, rhythm, and movement are not simply additions to the story. They are part of what makes the tradition alive.</w:t>
      </w:r>
    </w:p>
    <w:p>
      <w:pPr>
        <w:rPr>
          <w:b/>
          <w:bCs/>
          <w:shd w:val="clear" w:fill="FFF2CC"/>
        </w:rPr>
      </w:pPr>
      <w:r>
        <w:rPr>
          <w:rFonts w:ascii="Arial Unicode MS" w:hAnsi="Arial Unicode MS" w:eastAsia="Arial Unicode MS" w:cs="Arial Unicode MS"/>
          <w:highlight w:val="yellow"/>
          <w:rtl w:val="0"/>
        </w:rPr>
        <w:t>Tokom年轻传承人1：</w:t>
      </w:r>
      <w:r>
        <w:rPr>
          <w:b/>
          <w:bCs/>
          <w:shd w:val="clear" w:fill="FFF2CC"/>
          <w:rtl w:val="0"/>
        </w:rPr>
        <w:t>Bringing Manas Into the Digital Age</w:t>
      </w:r>
    </w:p>
    <w:p>
      <w:pPr>
        <w:rPr>
          <w:b/>
          <w:bCs/>
          <w:shd w:val="clear" w:fill="FFF2CC"/>
        </w:rPr>
      </w:pPr>
    </w:p>
    <w:p>
      <w:r>
        <w:rPr>
          <w:rtl w:val="0"/>
        </w:rPr>
        <w:t>Summary:</w:t>
      </w:r>
    </w:p>
    <w:p>
      <w:r>
        <w:rPr>
          <w:rtl w:val="0"/>
        </w:rPr>
        <w:t xml:space="preserve">Tokom describes how his relationship with </w:t>
      </w:r>
      <w:r>
        <w:rPr>
          <w:i/>
          <w:iCs/>
          <w:rtl w:val="0"/>
        </w:rPr>
        <w:t>Manas</w:t>
      </w:r>
      <w:r>
        <w:rPr>
          <w:rtl w:val="0"/>
        </w:rPr>
        <w:t xml:space="preserve"> developed from memorization in childhood to deeper study, writing, and eventually digital media. Since 2022, he has used platforms such as Douyin, WeChat Channels, and Kuaishou to share performances, stories, and explanations of the epic. Because </w:t>
      </w:r>
      <w:r>
        <w:rPr>
          <w:i/>
          <w:iCs/>
          <w:rtl w:val="0"/>
        </w:rPr>
        <w:t>Manas</w:t>
      </w:r>
      <w:r>
        <w:rPr>
          <w:rtl w:val="0"/>
        </w:rPr>
        <w:t xml:space="preserve"> is often too long for short-form platforms, he divides longer performances into smaller sections. For him, digital transmission means adjusting the form of the tradition so that it can fit the habits and attention of today’s audiences.</w:t>
      </w:r>
    </w:p>
    <w:p/>
    <w:p>
      <w:r>
        <w:rPr>
          <w:rtl w:val="0"/>
        </w:rPr>
        <w:t>Comment:</w:t>
      </w:r>
    </w:p>
    <w:p>
      <w:r>
        <w:rPr>
          <w:rtl w:val="0"/>
        </w:rPr>
        <w:t>I used to think that bringing a tradition online simply meant giving more people access to it. Tokom made me notice that the platform itself can also change how a tradition is presented. A story that once unfolded through a long live performance may now be divided into several short videos. The content can remain connected to the same tradition, while the form changes for a different audience. It made me think about adaptation not only as a way to reach more people, but as part of how a tradition continues in a new media environment.</w:t>
      </w:r>
    </w:p>
    <w:p/>
    <w:p>
      <w:pPr>
        <w:rPr>
          <w:b/>
          <w:bCs/>
          <w:shd w:val="clear" w:fill="FFF2CC"/>
        </w:rPr>
      </w:pPr>
      <w:r>
        <w:rPr>
          <w:rFonts w:ascii="Arial Unicode MS" w:hAnsi="Arial Unicode MS" w:eastAsia="Arial Unicode MS" w:cs="Arial Unicode MS"/>
          <w:highlight w:val="yellow"/>
          <w:rtl w:val="0"/>
        </w:rPr>
        <w:t>Tokom年轻传承人2：</w:t>
      </w:r>
      <w:r>
        <w:rPr>
          <w:b/>
          <w:bCs/>
          <w:shd w:val="clear" w:fill="FFF2CC"/>
          <w:rtl w:val="0"/>
        </w:rPr>
        <w:t>Memorizing Is Not the Same as Understanding</w:t>
      </w:r>
    </w:p>
    <w:p>
      <w:pPr>
        <w:rPr>
          <w:b/>
          <w:bCs/>
          <w:shd w:val="clear" w:fill="FFF2CC"/>
        </w:rPr>
      </w:pPr>
    </w:p>
    <w:p>
      <w:r>
        <w:rPr>
          <w:rtl w:val="0"/>
        </w:rPr>
        <w:t>Summary:</w:t>
      </w:r>
    </w:p>
    <w:p>
      <w:r>
        <w:rPr>
          <w:rtl w:val="0"/>
        </w:rPr>
        <w:t xml:space="preserve">Tokom explains that passing on </w:t>
      </w:r>
      <w:r>
        <w:rPr>
          <w:i/>
          <w:iCs/>
          <w:rtl w:val="0"/>
        </w:rPr>
        <w:t>Manas</w:t>
      </w:r>
      <w:r>
        <w:rPr>
          <w:rtl w:val="0"/>
        </w:rPr>
        <w:t xml:space="preserve"> requires much more than memorization. After learning the text, he believes a Manaschi must understand it, study it, and reorganize it before sharing it with others. He has read </w:t>
      </w:r>
      <w:r>
        <w:rPr>
          <w:i/>
          <w:iCs/>
          <w:rtl w:val="0"/>
        </w:rPr>
        <w:t>Manas</w:t>
      </w:r>
      <w:r>
        <w:rPr>
          <w:rtl w:val="0"/>
        </w:rPr>
        <w:t xml:space="preserve"> six or seven times since childhood and still feels there are parts he does not fully understand. For him, the epic is almost like an entire field of study, containing history, customs, culture, and knowledge from different communities.</w:t>
      </w:r>
    </w:p>
    <w:p/>
    <w:p>
      <w:r>
        <w:rPr>
          <w:rtl w:val="0"/>
        </w:rPr>
        <w:t>Comment:</w:t>
      </w:r>
    </w:p>
    <w:p>
      <w:r>
        <w:rPr>
          <w:rtl w:val="0"/>
        </w:rPr>
        <w:t>I often thought of memorization as one of the main signs that someone had truly learned a tradition. Tokom made me see that memory is only the beginning. Understanding, research, and interpretation are also part of transmission. What interested me most is that passing something on does not mean repeating it exactly. It means doing enough work with the material that you can make sense of it and help someone else understand it too.</w:t>
      </w:r>
    </w:p>
    <w:p/>
    <w:p>
      <w:pPr>
        <w:rPr>
          <w:b/>
          <w:bCs/>
          <w:shd w:val="clear" w:fill="FFF2CC"/>
        </w:rPr>
      </w:pPr>
      <w:r>
        <w:rPr>
          <w:rFonts w:ascii="Arial Unicode MS" w:hAnsi="Arial Unicode MS" w:eastAsia="Arial Unicode MS" w:cs="Arial Unicode MS"/>
          <w:highlight w:val="yellow"/>
          <w:rtl w:val="0"/>
        </w:rPr>
        <w:t>Tokom年轻传承人3：</w:t>
      </w:r>
      <w:r>
        <w:rPr>
          <w:b/>
          <w:bCs/>
          <w:shd w:val="clear" w:fill="FFF2CC"/>
          <w:rtl w:val="0"/>
        </w:rPr>
        <w:t>The Same Story Is Never Told Exactly the Same Way</w:t>
      </w:r>
    </w:p>
    <w:p>
      <w:pPr>
        <w:rPr>
          <w:b/>
          <w:bCs/>
          <w:shd w:val="clear" w:fill="FFF2CC"/>
        </w:rPr>
      </w:pPr>
    </w:p>
    <w:p>
      <w:r>
        <w:rPr>
          <w:rtl w:val="0"/>
        </w:rPr>
        <w:t>Summary:</w:t>
      </w:r>
    </w:p>
    <w:p>
      <w:r>
        <w:rPr>
          <w:rtl w:val="0"/>
        </w:rPr>
        <w:t xml:space="preserve">Tokom describes </w:t>
      </w:r>
      <w:r>
        <w:rPr>
          <w:i/>
          <w:iCs/>
          <w:rtl w:val="0"/>
        </w:rPr>
        <w:t>Manas</w:t>
      </w:r>
      <w:r>
        <w:rPr>
          <w:rtl w:val="0"/>
        </w:rPr>
        <w:t xml:space="preserve"> as a “living epic” because the same story is never performed in exactly the same way. A Manaschi may change the tone, rhythm, gestures, wording, or level of detail depending on the setting, the audience, and the performer’s own state. Even so, the main structure and storyline remain consistent. This balance between continuity and improvisation is part of what allows </w:t>
      </w:r>
      <w:r>
        <w:rPr>
          <w:i/>
          <w:iCs/>
          <w:rtl w:val="0"/>
        </w:rPr>
        <w:t>Manas</w:t>
      </w:r>
      <w:r>
        <w:rPr>
          <w:rtl w:val="0"/>
        </w:rPr>
        <w:t xml:space="preserve"> to stay alive as an oral tradition.</w:t>
      </w:r>
    </w:p>
    <w:p/>
    <w:p>
      <w:r>
        <w:rPr>
          <w:rtl w:val="0"/>
        </w:rPr>
        <w:t>Comment:</w:t>
      </w:r>
    </w:p>
    <w:p>
      <w:r>
        <w:rPr>
          <w:rtl w:val="0"/>
        </w:rPr>
        <w:t xml:space="preserve">I often thought of preservation as keeping something unchanged, but Tokom’s explanation suggests a different idea. </w:t>
      </w:r>
      <w:r>
        <w:rPr>
          <w:i/>
          <w:iCs/>
          <w:rtl w:val="0"/>
        </w:rPr>
        <w:t>Manas</w:t>
      </w:r>
      <w:r>
        <w:rPr>
          <w:rtl w:val="0"/>
        </w:rPr>
        <w:t xml:space="preserve"> stays recognizable because its core story remains, even while each performance can change. That made me think more carefully about the line between retelling and changing a tradition. Maybe the question is not whether change happens, but which parts can change without losing what makes the tradition itself.</w:t>
      </w:r>
    </w:p>
    <w:p/>
    <w:p/>
    <w:p>
      <w:pPr>
        <w:numPr>
          <w:ilvl w:val="0"/>
          <w:numId w:val="1"/>
        </w:numPr>
        <w:ind w:left="720" w:hanging="360"/>
        <w:rPr>
          <w:b/>
          <w:bCs/>
          <w:sz w:val="34"/>
          <w:szCs w:val="34"/>
        </w:rPr>
      </w:pPr>
      <w:r>
        <w:rPr>
          <w:rFonts w:ascii="Arial Unicode MS" w:hAnsi="Arial Unicode MS" w:eastAsia="Arial Unicode MS" w:cs="Arial Unicode MS"/>
          <w:b/>
          <w:bCs/>
          <w:sz w:val="34"/>
          <w:szCs w:val="34"/>
          <w:rtl w:val="0"/>
        </w:rPr>
        <w:t>木卡姆</w:t>
      </w:r>
    </w:p>
    <w:p/>
    <w:p>
      <w:pPr>
        <w:rPr>
          <w:b/>
          <w:bCs/>
          <w:shd w:val="clear" w:fill="FFF2CC"/>
        </w:rPr>
      </w:pPr>
      <w:r>
        <w:rPr>
          <w:rFonts w:ascii="Arial Unicode MS" w:hAnsi="Arial Unicode MS" w:eastAsia="Arial Unicode MS" w:cs="Arial Unicode MS"/>
          <w:highlight w:val="yellow"/>
          <w:rtl w:val="0"/>
        </w:rPr>
        <w:t>吐尔洪教授：</w:t>
      </w:r>
      <w:r>
        <w:rPr>
          <w:b/>
          <w:bCs/>
          <w:shd w:val="clear" w:fill="FFF2CC"/>
          <w:rtl w:val="0"/>
        </w:rPr>
        <w:t>How Do You Preserve a Tradition Without Freezing It?</w:t>
      </w:r>
    </w:p>
    <w:p>
      <w:pPr>
        <w:rPr>
          <w:b/>
          <w:bCs/>
          <w:shd w:val="clear" w:fill="FFF2CC"/>
        </w:rPr>
      </w:pPr>
    </w:p>
    <w:p>
      <w:r>
        <w:rPr>
          <w:rFonts w:ascii="Arial Unicode MS" w:hAnsi="Arial Unicode MS" w:eastAsia="Arial Unicode MS" w:cs="Arial Unicode MS"/>
          <w:rtl w:val="0"/>
        </w:rPr>
        <w:t>Summary：</w:t>
      </w:r>
    </w:p>
    <w:p>
      <w:r>
        <w:rPr>
          <w:rtl w:val="0"/>
        </w:rPr>
        <w:t>Professor Turhong describes preservation and development as a balance rather than a choice between two extremes. He believes important parts of a tradition should be protected, but the ways it is presented may need to change as younger audiences and media habits change. Using Xinjiang folk music as an example, he explains how new arrangements, new languages, and online platforms can help unfamiliar audiences enter a tradition. For him, the goal is not simply to tell young people that a tradition is valuable, but to help them understand why it matters.</w:t>
      </w:r>
    </w:p>
    <w:p/>
    <w:p>
      <w:r>
        <w:rPr>
          <w:rFonts w:ascii="Arial Unicode MS" w:hAnsi="Arial Unicode MS" w:eastAsia="Arial Unicode MS" w:cs="Arial Unicode MS"/>
          <w:rtl w:val="0"/>
        </w:rPr>
        <w:t>Comment：</w:t>
      </w:r>
    </w:p>
    <w:p>
      <w:r>
        <w:rPr>
          <w:rtl w:val="0"/>
        </w:rPr>
        <w:t>I often think the hardest question is not whether a tradition should change, but how far that change can go. Professor Turhong’s answer made me think about adaptation as a question of access and boundaries at the same time. A new format can help more people enter a tradition, but it should not erase the features that make the tradition distinct. That balance seems to be one of the central challenges of keeping cultural traditions meaningful today.</w:t>
      </w:r>
    </w:p>
    <w:p/>
    <w:p>
      <w:pPr>
        <w:rPr>
          <w:b/>
          <w:bCs/>
          <w:shd w:val="clear" w:fill="FFF2CC"/>
        </w:rPr>
      </w:pPr>
      <w:r>
        <w:rPr>
          <w:rFonts w:ascii="Arial Unicode MS" w:hAnsi="Arial Unicode MS" w:eastAsia="Arial Unicode MS" w:cs="Arial Unicode MS"/>
          <w:highlight w:val="yellow"/>
          <w:rtl w:val="0"/>
        </w:rPr>
        <w:t>买迪娜：</w:t>
      </w:r>
      <w:r>
        <w:rPr>
          <w:b/>
          <w:bCs/>
          <w:shd w:val="clear" w:fill="FFF2CC"/>
          <w:rtl w:val="0"/>
        </w:rPr>
        <w:t>How Do You Make a Tradition Meaningful to a Child?</w:t>
      </w:r>
    </w:p>
    <w:p>
      <w:pPr>
        <w:rPr>
          <w:highlight w:val="yellow"/>
        </w:rPr>
      </w:pPr>
    </w:p>
    <w:p>
      <w:r>
        <w:rPr>
          <w:rFonts w:ascii="Arial Unicode MS" w:hAnsi="Arial Unicode MS" w:eastAsia="Arial Unicode MS" w:cs="Arial Unicode MS"/>
          <w:rtl w:val="0"/>
        </w:rPr>
        <w:t>Summary：</w:t>
      </w:r>
    </w:p>
    <w:p>
      <w:pPr>
        <w:spacing w:before="240" w:after="240"/>
      </w:pPr>
      <w:r>
        <w:rPr>
          <w:rtl w:val="0"/>
        </w:rPr>
        <w:t>Madina explains that young children do not need to begin by memorizing names, history, or musical terms. She suggests letting them watch and listen first, then asking what they noticed. Their own observations can become the starting point for learning about the performers, instruments, stories, and history behind the Twelve Muqam. For her, curiosity should come before explanation, so that children first connect with the experience and then gradually understand what they saw.</w:t>
      </w:r>
    </w:p>
    <w:p>
      <w:r>
        <w:rPr>
          <w:rtl w:val="0"/>
        </w:rPr>
        <w:t>Comment:</w:t>
      </w:r>
    </w:p>
    <w:p>
      <w:r>
        <w:rPr>
          <w:rtl w:val="0"/>
        </w:rPr>
        <w:t>I often assumed that understanding had to come before interest. Madina’s approach made me think about the order differently. Someone new to a tradition may first need a detail that catches their attention, such as a sound, an instrument, a person, or a story. That small moment of curiosity can become the beginning of deeper learning. It made me realize that making a tradition accessible does not always mean simplifying it. Sometimes it means giving people the right place to enter.</w:t>
      </w:r>
    </w:p>
    <w:p/>
    <w:p/>
    <w:p>
      <w:pPr>
        <w:numPr>
          <w:ilvl w:val="0"/>
          <w:numId w:val="1"/>
        </w:numPr>
        <w:ind w:left="720" w:hanging="360"/>
        <w:rPr>
          <w:b/>
          <w:bCs/>
          <w:sz w:val="34"/>
          <w:szCs w:val="34"/>
        </w:rPr>
      </w:pPr>
      <w:r>
        <w:rPr>
          <w:rFonts w:ascii="Arial Unicode MS" w:hAnsi="Arial Unicode MS" w:eastAsia="Arial Unicode MS" w:cs="Arial Unicode MS"/>
          <w:b/>
          <w:bCs/>
          <w:sz w:val="34"/>
          <w:szCs w:val="34"/>
          <w:rtl w:val="0"/>
        </w:rPr>
        <w:t>江格尔</w:t>
      </w:r>
    </w:p>
    <w:p/>
    <w:p>
      <w:pPr>
        <w:rPr>
          <w:b/>
          <w:bCs/>
          <w:shd w:val="clear" w:fill="FFF2CC"/>
        </w:rPr>
      </w:pPr>
      <w:r>
        <w:rPr>
          <w:rFonts w:ascii="Arial Unicode MS" w:hAnsi="Arial Unicode MS" w:eastAsia="Arial Unicode MS" w:cs="Arial Unicode MS"/>
          <w:highlight w:val="yellow"/>
          <w:rtl w:val="0"/>
        </w:rPr>
        <w:t>尼玛：</w:t>
      </w:r>
      <w:r>
        <w:rPr>
          <w:b/>
          <w:bCs/>
          <w:shd w:val="clear" w:fill="FFF2CC"/>
          <w:rtl w:val="0"/>
        </w:rPr>
        <w:t>Tradition Has to Change to Stay Alive</w:t>
      </w:r>
    </w:p>
    <w:p>
      <w:pPr>
        <w:rPr>
          <w:b/>
          <w:bCs/>
          <w:shd w:val="clear" w:fill="FFF2CC"/>
        </w:rPr>
      </w:pPr>
    </w:p>
    <w:p>
      <w:r>
        <w:rPr>
          <w:rFonts w:ascii="Arial Unicode MS" w:hAnsi="Arial Unicode MS" w:eastAsia="Arial Unicode MS" w:cs="Arial Unicode MS"/>
          <w:rtl w:val="0"/>
        </w:rPr>
        <w:t>Summary：</w:t>
      </w:r>
    </w:p>
    <w:p>
      <w:r>
        <w:rPr>
          <w:rtl w:val="0"/>
        </w:rPr>
        <w:t xml:space="preserve">Nima explains that </w:t>
      </w:r>
      <w:r>
        <w:rPr>
          <w:i/>
          <w:iCs/>
          <w:rtl w:val="0"/>
        </w:rPr>
        <w:t>Jangar</w:t>
      </w:r>
      <w:r>
        <w:rPr>
          <w:rtl w:val="0"/>
        </w:rPr>
        <w:t xml:space="preserve"> has never remained completely unchanged because it has been passed down orally for generations. While details may shift, the main story and core ideas remain. Since around 2012, he and other performers have experimented with new ways of presenting the epic by shortening long sections, rearranging the music, adding instruments, and using throat singing. For Nima, these changes do not replace the original story. They help the tradition reach contemporary audiences while keeping its core recognizable.</w:t>
      </w:r>
    </w:p>
    <w:p/>
    <w:p>
      <w:r>
        <w:rPr>
          <w:rFonts w:ascii="Arial Unicode MS" w:hAnsi="Arial Unicode MS" w:eastAsia="Arial Unicode MS" w:cs="Arial Unicode MS"/>
          <w:rtl w:val="0"/>
        </w:rPr>
        <w:t>Comment：</w:t>
      </w:r>
    </w:p>
    <w:p>
      <w:r>
        <w:rPr>
          <w:rtl w:val="0"/>
        </w:rPr>
        <w:t>I often thought of innovation and preservation as two opposite directions. Nima’s approach made that distinction feel less simple. The real challenge seems to be deciding what must remain recognizable and what can change with the audience and the time. A tradition does not have to stay in exactly the same form to remain itself. In some cases, changing the way it is presented may be what allows its core story to keep being heard.</w:t>
      </w:r>
    </w:p>
    <w:p/>
    <w:p>
      <w:pPr>
        <w:rPr>
          <w:highlight w:val="yellow"/>
        </w:rPr>
      </w:pPr>
      <w:r>
        <w:rPr>
          <w:rFonts w:ascii="Arial Unicode MS" w:hAnsi="Arial Unicode MS" w:eastAsia="Arial Unicode MS" w:cs="Arial Unicode MS"/>
          <w:highlight w:val="yellow"/>
          <w:rtl w:val="0"/>
        </w:rPr>
        <w:t>分别展示传统版江格尔和改编版江格尔演奏视频（暂定），</w:t>
      </w:r>
    </w:p>
    <w:p>
      <w:pPr>
        <w:rPr>
          <w:highlight w:val="yellow"/>
        </w:rPr>
      </w:pPr>
      <w:r>
        <w:rPr>
          <w:rFonts w:ascii="Arial Unicode MS" w:hAnsi="Arial Unicode MS" w:eastAsia="Arial Unicode MS" w:cs="Arial Unicode MS"/>
          <w:b/>
          <w:bCs/>
          <w:shd w:val="clear" w:fill="FFF2CC"/>
          <w:rtl w:val="0"/>
        </w:rPr>
        <w:t>标题：Traditional vs Adapted Performance</w:t>
      </w:r>
    </w:p>
    <w:p/>
    <w:p/>
    <w:p>
      <w:pPr>
        <w:numPr>
          <w:ilvl w:val="0"/>
          <w:numId w:val="1"/>
        </w:numPr>
        <w:ind w:left="720" w:hanging="360"/>
        <w:rPr>
          <w:b/>
          <w:bCs/>
          <w:sz w:val="34"/>
          <w:szCs w:val="34"/>
        </w:rPr>
      </w:pPr>
      <w:r>
        <w:rPr>
          <w:rFonts w:ascii="Arial Unicode MS" w:hAnsi="Arial Unicode MS" w:eastAsia="Arial Unicode MS" w:cs="Arial Unicode MS"/>
          <w:b/>
          <w:bCs/>
          <w:sz w:val="34"/>
          <w:szCs w:val="34"/>
          <w:rtl w:val="0"/>
        </w:rPr>
        <w:t>蒙古族长调</w:t>
      </w:r>
    </w:p>
    <w:p/>
    <w:p>
      <w:pPr>
        <w:rPr>
          <w:b/>
          <w:bCs/>
          <w:shd w:val="clear" w:fill="FFF2CC"/>
        </w:rPr>
      </w:pPr>
      <w:r>
        <w:rPr>
          <w:rFonts w:ascii="Arial Unicode MS" w:hAnsi="Arial Unicode MS" w:eastAsia="Arial Unicode MS" w:cs="Arial Unicode MS"/>
          <w:highlight w:val="yellow"/>
          <w:rtl w:val="0"/>
        </w:rPr>
        <w:t>乌图那生1：</w:t>
      </w:r>
      <w:r>
        <w:rPr>
          <w:b/>
          <w:bCs/>
          <w:shd w:val="clear" w:fill="FFF2CC"/>
          <w:rtl w:val="0"/>
        </w:rPr>
        <w:t>Teaching One Line at a Time</w:t>
      </w:r>
    </w:p>
    <w:p>
      <w:pPr>
        <w:rPr>
          <w:b/>
          <w:bCs/>
          <w:shd w:val="clear" w:fill="FFF2CC"/>
        </w:rPr>
      </w:pPr>
    </w:p>
    <w:p>
      <w:r>
        <w:rPr>
          <w:rFonts w:ascii="Arial Unicode MS" w:hAnsi="Arial Unicode MS" w:eastAsia="Arial Unicode MS" w:cs="Arial Unicode MS"/>
          <w:rtl w:val="0"/>
        </w:rPr>
        <w:t>Summary：</w:t>
      </w:r>
    </w:p>
    <w:p>
      <w:r>
        <w:rPr>
          <w:rtl w:val="0"/>
        </w:rPr>
        <w:t>Wutunasheng explains that Mongolian Long Song can still be taught without formal music theory or written notation. He learned the tradition orally and now teaches his students in much the same way, guiding them through the melody and lyrics one line at a time. Students who read staff or numbered notation can use it as an additional tool, while others continue to learn by listening and repeating. Students who learn quickly may also help teach their classmates, creating another layer of transmission within the group.</w:t>
      </w:r>
    </w:p>
    <w:p/>
    <w:p>
      <w:r>
        <w:rPr>
          <w:rFonts w:ascii="Arial Unicode MS" w:hAnsi="Arial Unicode MS" w:eastAsia="Arial Unicode MS" w:cs="Arial Unicode MS"/>
          <w:rtl w:val="0"/>
        </w:rPr>
        <w:t>Comment：</w:t>
      </w:r>
    </w:p>
    <w:p>
      <w:r>
        <w:rPr>
          <w:rtl w:val="0"/>
        </w:rPr>
        <w:t>I often assumed that writing music down would naturally make it easier to teach. What I saw here was more flexible. Notation can help, but the tradition does not depend on it. Listening, repetition, and learning directly from another person still remain at the center of the process. I was especially interested in how students can become teachers themselves, so transmission does not move in only one direction.</w:t>
      </w:r>
    </w:p>
    <w:p/>
    <w:p>
      <w:pPr>
        <w:rPr>
          <w:b/>
          <w:bCs/>
          <w:shd w:val="clear" w:fill="FFF2CC"/>
        </w:rPr>
      </w:pPr>
      <w:r>
        <w:rPr>
          <w:rFonts w:ascii="Arial Unicode MS" w:hAnsi="Arial Unicode MS" w:eastAsia="Arial Unicode MS" w:cs="Arial Unicode MS"/>
          <w:highlight w:val="yellow"/>
          <w:rtl w:val="0"/>
        </w:rPr>
        <w:t>乌图那生2：</w:t>
      </w:r>
      <w:r>
        <w:rPr>
          <w:b/>
          <w:bCs/>
          <w:shd w:val="clear" w:fill="FFF2CC"/>
          <w:rtl w:val="0"/>
        </w:rPr>
        <w:t>A Performance Is More Than Singing the Right Notes</w:t>
      </w:r>
    </w:p>
    <w:p>
      <w:pPr>
        <w:rPr>
          <w:b/>
          <w:bCs/>
          <w:shd w:val="clear" w:fill="FFF2CC"/>
        </w:rPr>
      </w:pPr>
    </w:p>
    <w:p>
      <w:r>
        <w:rPr>
          <w:rFonts w:ascii="Arial Unicode MS" w:hAnsi="Arial Unicode MS" w:eastAsia="Arial Unicode MS" w:cs="Arial Unicode MS"/>
          <w:rtl w:val="0"/>
        </w:rPr>
        <w:t>Summary：</w:t>
      </w:r>
    </w:p>
    <w:p>
      <w:r>
        <w:rPr>
          <w:rtl w:val="0"/>
        </w:rPr>
        <w:t>Wutunasheng explains that a strong Long Song performance is judged by more than vocal technique. Posture, stage presence, traditional clothing, confidence, and emotional expression all contribute to the performance as a whole. He believes a song should feel connected from beginning to end and should be sung sincerely enough to move the audience. That confidence on stage, he adds, comes from regular practice and long-term preparation.</w:t>
      </w:r>
    </w:p>
    <w:p/>
    <w:p>
      <w:r>
        <w:rPr>
          <w:rFonts w:ascii="Arial Unicode MS" w:hAnsi="Arial Unicode MS" w:eastAsia="Arial Unicode MS" w:cs="Arial Unicode MS"/>
          <w:rtl w:val="0"/>
        </w:rPr>
        <w:t>Comment：</w:t>
      </w:r>
    </w:p>
    <w:p>
      <w:r>
        <w:rPr>
          <w:rtl w:val="0"/>
        </w:rPr>
        <w:t>I was used to thinking about musical performance mainly in terms of how accurately someone played or sang. Wutunasheng described something much broader. Voice, body, clothing, confidence, and emotion all belong to the performance together. It made me realize that what is being passed on is not simply a set of correct notes, but an entire way of performing and communicating with an audience.</w:t>
      </w:r>
    </w:p>
    <w:p/>
    <w:p/>
    <w:p>
      <w:pPr>
        <w:numPr>
          <w:ilvl w:val="0"/>
          <w:numId w:val="1"/>
        </w:numPr>
        <w:ind w:left="720" w:hanging="360"/>
        <w:rPr>
          <w:b/>
          <w:bCs/>
          <w:sz w:val="34"/>
          <w:szCs w:val="34"/>
        </w:rPr>
      </w:pPr>
      <w:r>
        <w:rPr>
          <w:rFonts w:ascii="Arial Unicode MS" w:hAnsi="Arial Unicode MS" w:eastAsia="Arial Unicode MS" w:cs="Arial Unicode MS"/>
          <w:b/>
          <w:bCs/>
          <w:sz w:val="34"/>
          <w:szCs w:val="34"/>
          <w:rtl w:val="0"/>
        </w:rPr>
        <w:t>阿肯阿依特斯</w:t>
      </w:r>
    </w:p>
    <w:p/>
    <w:p>
      <w:pPr>
        <w:rPr>
          <w:b/>
          <w:bCs/>
          <w:shd w:val="clear" w:fill="FFF2CC"/>
        </w:rPr>
      </w:pPr>
      <w:r>
        <w:rPr>
          <w:rFonts w:ascii="Arial Unicode MS" w:hAnsi="Arial Unicode MS" w:eastAsia="Arial Unicode MS" w:cs="Arial Unicode MS"/>
          <w:highlight w:val="yellow"/>
          <w:rtl w:val="0"/>
        </w:rPr>
        <w:t>人物介绍1：</w:t>
      </w:r>
      <w:r>
        <w:rPr>
          <w:b/>
          <w:bCs/>
          <w:shd w:val="clear" w:fill="FFF2CC"/>
          <w:rtl w:val="0"/>
        </w:rPr>
        <w:t>Listen, Think, Answer — All in Real Time</w:t>
      </w:r>
    </w:p>
    <w:p>
      <w:pPr>
        <w:rPr>
          <w:b/>
          <w:bCs/>
          <w:shd w:val="clear" w:fill="FFF2CC"/>
        </w:rPr>
      </w:pPr>
    </w:p>
    <w:p>
      <w:r>
        <w:rPr>
          <w:rFonts w:ascii="Arial Unicode MS" w:hAnsi="Arial Unicode MS" w:eastAsia="Arial Unicode MS" w:cs="Arial Unicode MS"/>
          <w:rtl w:val="0"/>
        </w:rPr>
        <w:t>Summary：</w:t>
      </w:r>
    </w:p>
    <w:p>
      <w:r>
        <w:rPr>
          <w:rtl w:val="0"/>
        </w:rPr>
        <w:t>Aqyn Aitys is a form of live poetic exchange rather than a rehearsed song. Two performers listen to each other, think quickly, and respond immediately through improvised lyrics, melody, and dombra playing. Each Aqyn develops a personal vocal style and chooses melodic patterns that fit their own voice. The exchange can be competitive, humorous, or playful, but it always depends on the ability to turn thought into poetry and music in real time.</w:t>
      </w:r>
    </w:p>
    <w:p/>
    <w:p>
      <w:r>
        <w:rPr>
          <w:rFonts w:ascii="Arial Unicode MS" w:hAnsi="Arial Unicode MS" w:eastAsia="Arial Unicode MS" w:cs="Arial Unicode MS"/>
          <w:rtl w:val="0"/>
        </w:rPr>
        <w:t>Comment：</w:t>
      </w:r>
    </w:p>
    <w:p>
      <w:r>
        <w:rPr>
          <w:rtl w:val="0"/>
        </w:rPr>
        <w:t>What interested me most was how many things have to happen at the same time. An Aqyn has to listen carefully, understand the other person, think of a response, shape it into poetry, and sing it with music almost immediately. It made me see improvisation as much more than spontaneity. It depends on language, memory, musical skill, and a large amount of knowledge already built up before the performance begins.</w:t>
      </w:r>
    </w:p>
    <w:p/>
    <w:p>
      <w:pPr>
        <w:rPr>
          <w:b/>
          <w:bCs/>
          <w:shd w:val="clear" w:fill="FFF2CC"/>
        </w:rPr>
      </w:pPr>
      <w:r>
        <w:rPr>
          <w:rFonts w:ascii="Arial Unicode MS" w:hAnsi="Arial Unicode MS" w:eastAsia="Arial Unicode MS" w:cs="Arial Unicode MS"/>
          <w:highlight w:val="yellow"/>
          <w:rtl w:val="0"/>
        </w:rPr>
        <w:t>男女对唱2：</w:t>
      </w:r>
      <w:r>
        <w:rPr>
          <w:b/>
          <w:bCs/>
          <w:shd w:val="clear" w:fill="FFF2CC"/>
          <w:rtl w:val="0"/>
        </w:rPr>
        <w:t>The Art of the Comeback</w:t>
      </w:r>
    </w:p>
    <w:p>
      <w:pPr>
        <w:rPr>
          <w:highlight w:val="yellow"/>
        </w:rPr>
      </w:pPr>
    </w:p>
    <w:p>
      <w:r>
        <w:rPr>
          <w:rtl w:val="0"/>
        </w:rPr>
        <w:t>S</w:t>
      </w:r>
      <w:r>
        <w:rPr>
          <w:rFonts w:ascii="Arial Unicode MS" w:hAnsi="Arial Unicode MS" w:eastAsia="Arial Unicode MS" w:cs="Arial Unicode MS"/>
          <w:rtl w:val="0"/>
        </w:rPr>
        <w:t>ummary：</w:t>
      </w:r>
    </w:p>
    <w:p>
      <w:r>
        <w:rPr>
          <w:rtl w:val="0"/>
        </w:rPr>
        <w:t>Humor is an important part of Aqyn Aitys. Performers do not simply take turns singing. They tease, joke, challenge each other, and react to what is happening in the moment. In male-female duets, this can become especially playful, with compliments, witty replies, and verbal sparring built into the exchange. Audience reaction also matters. Laughter and attention become part of the performance and help shape its rhythm and energy.</w:t>
      </w:r>
    </w:p>
    <w:p/>
    <w:p>
      <w:r>
        <w:rPr>
          <w:rFonts w:ascii="Arial Unicode MS" w:hAnsi="Arial Unicode MS" w:eastAsia="Arial Unicode MS" w:cs="Arial Unicode MS"/>
          <w:rtl w:val="0"/>
        </w:rPr>
        <w:t>Comment：</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​​I used to think of improvisation mainly as the ability to create something quickly. Aitys showed me that timing and audience response matter just as much. A good comeback has to be clever, musical, and immediate, but it also has to land with the people listening. That made me realize that this tradition is not only a conversation between two performers. It is also a conversation with the audience.</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embedRegular r:id="rId1" w:fontKey="{379B39B7-B978-BEC0-BB51-AC6A6B4950DA}"/>
  </w:font>
  <w:font w:name="Arial Unicode MS">
    <w:panose1 w:val="020B0604020202020204"/>
    <w:charset w:val="86"/>
    <w:family w:val="auto"/>
    <w:pitch w:val="default"/>
    <w:sig w:usb0="FFFFFFFF" w:usb1="E9FFFFFF" w:usb2="0000003F" w:usb3="00000000" w:csb0="603F01FF" w:csb1="FFFF0000"/>
    <w:embedRegular r:id="rId2" w:fontKey="{25A714CA-2C99-B1E8-BB51-AC6A41560CCE}"/>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D4326"/>
    <w:multiLevelType w:val="multilevel"/>
    <w:tmpl w:val="BEFD43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doNotDisplayPageBoundaries w:val="1"/>
  <w:embedTrueTypeFonts/>
  <w:documentProtection w:enforcement="0"/>
  <w:defaultTabStop w:val="720"/>
  <w:footnotePr>
    <w:footnote w:id="0"/>
    <w:footnote w:id="1"/>
  </w:footnotePr>
  <w:endnotePr>
    <w:endnote w:id="0"/>
    <w:endnote w:id="1"/>
  </w:endnotePr>
  <w:compat>
    <w:useFELayout/>
    <w:compatSetting w:name="compatibilityMode" w:uri="http://schemas.microsoft.com/office/word" w:val="15"/>
  </w:compat>
  <w:rsids>
    <w:rsidRoot w:val="00000000"/>
    <w:rsid w:val="537D79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Office_6.3.0.8471_F1E327BC-269C-435d-A152-05C5408002CA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2026-09-17T16:46:42Z</dcterms:created>
  <dc:creator>Data</dc:creator>
  <cp:lastModifiedBy>初泽晴天小猫</cp:lastModifiedBy>
  <dcterms:modified xsi:type="dcterms:W3CDTF">2026-09-17T16:46:51Z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2052-6.3.0.8471</vt:lpwstr>
  </property>
  <property fmtid="{D5CDD505-2E9C-101B-9397-08002B2CF9AE}" pid="3" name="ICV">
    <vt:lpwstr>8895F71E4E1FDB15BB51AC6A8531B08F_42</vt:lpwstr>
  </property>
</Properties>
</file>