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_couverture" descr="Fond Deep Navy et motif radial" title="F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562850" cy="10696575"/>
                    </a:xfrm>
                    <a:prstGeom prst="rect">
                      <a:avLst/>
                    </a:prstGeom>
                  </pic:spPr>
                </pic:pic>
              </a:graphicData>
            </a:graphic>
          </wp:anchor>
        </w:drawing>
      </w:r>
      <w:r>
        <w:drawing>
          <wp:inline distT="0" distB="0" distL="0" distR="0">
            <wp:extent cx="2447925" cy="942975"/>
            <wp:effectExtent t="0" r="0" b="0" l="0"/>
            <wp:docPr id="1" name="Logo" descr="Logo officiel" title="Logo TechnologyTrad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47925" cy="942975"/>
                    </a:xfrm>
                    <a:prstGeom prst="rect">
                      <a:avLst/>
                    </a:prstGeom>
                  </pic:spPr>
                </pic:pic>
              </a:graphicData>
            </a:graphic>
          </wp:inline>
        </w:drawing>
      </w:r>
    </w:p>
    <w:p>
      <w:pPr>
        <w:spacing w:after="240" w:before="3600"/>
      </w:pPr>
      <w:r>
        <w:rPr>
          <w:rFonts w:ascii="Montserrat" w:cs="Montserrat" w:eastAsia="Montserrat" w:hAnsi="Montserrat"/>
          <w:b/>
          <w:bCs/>
          <w:color w:val="00A676"/>
          <w:spacing w:val="60"/>
          <w:sz w:val="18"/>
          <w:szCs w:val="18"/>
        </w:rPr>
        <w:t xml:space="preserve">CHARTE GRAPHIQUE</w:t>
      </w:r>
    </w:p>
    <w:p>
      <w:pPr>
        <w:spacing w:after="0" w:line="252" w:lineRule="auto"/>
      </w:pPr>
      <w:r>
        <w:rPr>
          <w:rFonts w:ascii="Montserrat" w:cs="Montserrat" w:eastAsia="Montserrat" w:hAnsi="Montserrat"/>
          <w:b/>
          <w:bCs/>
          <w:color w:val="FFFFFF"/>
          <w:sz w:val="72"/>
          <w:szCs w:val="72"/>
        </w:rPr>
        <w:t xml:space="preserve">Identité visuelle</w:t>
      </w:r>
    </w:p>
    <w:p>
      <w:pPr>
        <w:spacing w:after="200" w:line="252" w:lineRule="auto"/>
      </w:pPr>
      <w:r>
        <w:rPr>
          <w:rFonts w:ascii="Montserrat" w:cs="Montserrat" w:eastAsia="Montserrat" w:hAnsi="Montserrat"/>
          <w:b/>
          <w:bCs/>
          <w:color w:val="FFFFFF"/>
          <w:sz w:val="72"/>
          <w:szCs w:val="72"/>
        </w:rPr>
        <w:t xml:space="preserve">TechnologyTrade Group</w:t>
      </w:r>
    </w:p>
    <w:p>
      <w:pPr>
        <w:spacing w:after="2600"/>
      </w:pPr>
      <w:r>
        <w:rPr>
          <w:rFonts w:ascii="Montserrat" w:cs="Montserrat" w:eastAsia="Montserrat" w:hAnsi="Montserrat"/>
          <w:color w:val="ACB4BF"/>
          <w:sz w:val="30"/>
          <w:szCs w:val="30"/>
        </w:rPr>
        <w:t xml:space="preserve">Direction « Hub of Continents »</w:t>
      </w:r>
    </w:p>
    <w:p>
      <w:pPr>
        <w:spacing w:after="60"/>
      </w:pPr>
      <w:r>
        <w:rPr>
          <w:rFonts w:ascii="Montserrat" w:cs="Montserrat" w:eastAsia="Montserrat" w:hAnsi="Montserrat"/>
          <w:b/>
          <w:bCs/>
          <w:color w:val="FFFFFF"/>
          <w:spacing w:val="36"/>
          <w:sz w:val="15"/>
          <w:szCs w:val="15"/>
        </w:rPr>
        <w:t xml:space="preserve">CONNECTING TECHNOLOGY. DRIVING TRADE. BUILDING </w:t>
      </w:r>
      <w:r>
        <w:rPr>
          <w:rFonts w:ascii="Montserrat" w:cs="Montserrat" w:eastAsia="Montserrat" w:hAnsi="Montserrat"/>
          <w:b/>
          <w:bCs/>
          <w:color w:val="00A676"/>
          <w:spacing w:val="36"/>
          <w:sz w:val="15"/>
          <w:szCs w:val="15"/>
        </w:rPr>
        <w:t xml:space="preserve">AFRICA'S FUTURE.</w:t>
      </w:r>
    </w:p>
    <w:p>
      <w:pPr>
        <w:spacing w:after="0" w:before="200"/>
      </w:pPr>
      <w:r>
        <w:rPr>
          <w:rFonts w:ascii="Montserrat" w:cs="Montserrat" w:eastAsia="Montserrat" w:hAnsi="Montserrat"/>
          <w:color w:val="ACB4BF"/>
          <w:sz w:val="16"/>
          <w:szCs w:val="16"/>
        </w:rPr>
        <w:t xml:space="preserve">Version 1.0  ·  octobre 2026</w:t>
      </w:r>
    </w:p>
    <w:p>
      <w:pPr>
        <w:sectPr>
          <w:headerReference w:type="default" r:id="rId7"/>
          <w:footerReference w:type="default" r:id="rId8"/>
          <w:pgSz w:w="11906" w:h="16838" w:orient="portrait"/>
          <w:pgMar w:top="1134" w:right="1134" w:bottom="1134" w:left="1134" w:header="400" w:footer="400" w:gutter="0"/>
          <w:pgNumType/>
          <w:docGrid w:linePitch="360"/>
        </w:sectPr>
      </w:pPr>
    </w:p>
    <w:p>
      <w:pPr>
        <w:spacing w:after="200" w:before="0"/>
      </w:pPr>
      <w:r>
        <w:rPr>
          <w:rFonts w:ascii="Montserrat" w:cs="Montserrat" w:eastAsia="Montserrat" w:hAnsi="Montserrat"/>
          <w:b/>
          <w:bCs/>
          <w:color w:val="0A1D3D"/>
          <w:sz w:val="34"/>
          <w:szCs w:val="34"/>
        </w:rPr>
        <w:t xml:space="preserve">Sommaire</w:t>
      </w:r>
    </w:p>
    <w:p>
      <w:pPr>
        <w:tabs>
          <w:tab w:val="right" w:pos="9638" w:leader="dot"/>
        </w:tabs>
        <w:spacing w:after="20" w:before="110" w:line="244" w:lineRule="auto"/>
        <w:ind w:left="0"/>
      </w:pPr>
      <w:r>
        <w:rPr>
          <w:rFonts w:ascii="Montserrat" w:cs="Montserrat" w:eastAsia="Montserrat" w:hAnsi="Montserrat"/>
          <w:b/>
          <w:bCs/>
          <w:color w:val="0A1D3D"/>
          <w:sz w:val="19"/>
          <w:szCs w:val="19"/>
        </w:rPr>
        <w:t xml:space="preserve">Lire cette charte</w:t>
      </w:r>
      <w:r>
        <w:rPr>
          <w:rFonts w:ascii="Montserrat" w:cs="Montserrat" w:eastAsia="Montserrat" w:hAnsi="Montserrat"/>
          <w:b/>
          <w:bCs/>
          <w:color w:val="0A1D3D"/>
          <w:sz w:val="19"/>
          <w:szCs w:val="19"/>
        </w:rPr>
        <w:t xml:space="preserve">	3</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Statut des valeurs</w:t>
      </w:r>
      <w:r>
        <w:rPr>
          <w:rFonts w:ascii="Montserrat" w:cs="Montserrat" w:eastAsia="Montserrat" w:hAnsi="Montserrat"/>
          <w:b w:val="false"/>
          <w:bCs w:val="false"/>
          <w:color w:val="626262"/>
          <w:sz w:val="17"/>
          <w:szCs w:val="17"/>
        </w:rPr>
        <w:t xml:space="preserve">	3</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Fichiers de référence et limites</w:t>
      </w:r>
      <w:r>
        <w:rPr>
          <w:rFonts w:ascii="Montserrat" w:cs="Montserrat" w:eastAsia="Montserrat" w:hAnsi="Montserrat"/>
          <w:b w:val="false"/>
          <w:bCs w:val="false"/>
          <w:color w:val="626262"/>
          <w:sz w:val="17"/>
          <w:szCs w:val="17"/>
        </w:rPr>
        <w:t xml:space="preserve">	3</w:t>
      </w:r>
    </w:p>
    <w:p>
      <w:pPr>
        <w:tabs>
          <w:tab w:val="right" w:pos="9638" w:leader="dot"/>
        </w:tabs>
        <w:spacing w:after="20" w:before="110" w:line="244" w:lineRule="auto"/>
        <w:ind w:left="0"/>
      </w:pPr>
      <w:r>
        <w:rPr>
          <w:rFonts w:ascii="Montserrat" w:cs="Montserrat" w:eastAsia="Montserrat" w:hAnsi="Montserrat"/>
          <w:b/>
          <w:bCs/>
          <w:color w:val="0A1D3D"/>
          <w:sz w:val="19"/>
          <w:szCs w:val="19"/>
        </w:rPr>
        <w:t xml:space="preserve">A — Présentation de l’identité</w:t>
      </w:r>
      <w:r>
        <w:rPr>
          <w:rFonts w:ascii="Montserrat" w:cs="Montserrat" w:eastAsia="Montserrat" w:hAnsi="Montserrat"/>
          <w:b/>
          <w:bCs/>
          <w:color w:val="0A1D3D"/>
          <w:sz w:val="19"/>
          <w:szCs w:val="19"/>
        </w:rPr>
        <w:t xml:space="preserve">	4</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A.1  La marque</w:t>
      </w:r>
      <w:r>
        <w:rPr>
          <w:rFonts w:ascii="Montserrat" w:cs="Montserrat" w:eastAsia="Montserrat" w:hAnsi="Montserrat"/>
          <w:b w:val="false"/>
          <w:bCs w:val="false"/>
          <w:color w:val="626262"/>
          <w:sz w:val="17"/>
          <w:szCs w:val="17"/>
        </w:rPr>
        <w:t xml:space="preserve">	4</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A.2  Direction retenue : Hub of Continents</w:t>
      </w:r>
      <w:r>
        <w:rPr>
          <w:rFonts w:ascii="Montserrat" w:cs="Montserrat" w:eastAsia="Montserrat" w:hAnsi="Montserrat"/>
          <w:b w:val="false"/>
          <w:bCs w:val="false"/>
          <w:color w:val="626262"/>
          <w:sz w:val="17"/>
          <w:szCs w:val="17"/>
        </w:rPr>
        <w:t xml:space="preserve">	4</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A.3  Slogan</w:t>
      </w:r>
      <w:r>
        <w:rPr>
          <w:rFonts w:ascii="Montserrat" w:cs="Montserrat" w:eastAsia="Montserrat" w:hAnsi="Montserrat"/>
          <w:b w:val="false"/>
          <w:bCs w:val="false"/>
          <w:color w:val="626262"/>
          <w:sz w:val="17"/>
          <w:szCs w:val="17"/>
        </w:rPr>
        <w:t xml:space="preserve">	4</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A.4  Architecture de marque</w:t>
      </w:r>
      <w:r>
        <w:rPr>
          <w:rFonts w:ascii="Montserrat" w:cs="Montserrat" w:eastAsia="Montserrat" w:hAnsi="Montserrat"/>
          <w:b w:val="false"/>
          <w:bCs w:val="false"/>
          <w:color w:val="626262"/>
          <w:sz w:val="17"/>
          <w:szCs w:val="17"/>
        </w:rPr>
        <w:t xml:space="preserve">	5</w:t>
      </w:r>
    </w:p>
    <w:p>
      <w:pPr>
        <w:tabs>
          <w:tab w:val="right" w:pos="9638" w:leader="dot"/>
        </w:tabs>
        <w:spacing w:after="20" w:before="110" w:line="244" w:lineRule="auto"/>
        <w:ind w:left="0"/>
      </w:pPr>
      <w:r>
        <w:rPr>
          <w:rFonts w:ascii="Montserrat" w:cs="Montserrat" w:eastAsia="Montserrat" w:hAnsi="Montserrat"/>
          <w:b/>
          <w:bCs/>
          <w:color w:val="0A1D3D"/>
          <w:sz w:val="19"/>
          <w:szCs w:val="19"/>
        </w:rPr>
        <w:t xml:space="preserve">B — Système de logo</w:t>
      </w:r>
      <w:r>
        <w:rPr>
          <w:rFonts w:ascii="Montserrat" w:cs="Montserrat" w:eastAsia="Montserrat" w:hAnsi="Montserrat"/>
          <w:b/>
          <w:bCs/>
          <w:color w:val="0A1D3D"/>
          <w:sz w:val="19"/>
          <w:szCs w:val="19"/>
        </w:rPr>
        <w:t xml:space="preserve">	6</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B.1  Déclinaisons</w:t>
      </w:r>
      <w:r>
        <w:rPr>
          <w:rFonts w:ascii="Montserrat" w:cs="Montserrat" w:eastAsia="Montserrat" w:hAnsi="Montserrat"/>
          <w:b w:val="false"/>
          <w:bCs w:val="false"/>
          <w:color w:val="626262"/>
          <w:sz w:val="17"/>
          <w:szCs w:val="17"/>
        </w:rPr>
        <w:t xml:space="preserve">	6</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B.2  Proportions à respecter</w:t>
      </w:r>
      <w:r>
        <w:rPr>
          <w:rFonts w:ascii="Montserrat" w:cs="Montserrat" w:eastAsia="Montserrat" w:hAnsi="Montserrat"/>
          <w:b w:val="false"/>
          <w:bCs w:val="false"/>
          <w:color w:val="626262"/>
          <w:sz w:val="17"/>
          <w:szCs w:val="17"/>
        </w:rPr>
        <w:t xml:space="preserve">	7</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B.3  Zone de protection</w:t>
      </w:r>
      <w:r>
        <w:rPr>
          <w:rFonts w:ascii="Montserrat" w:cs="Montserrat" w:eastAsia="Montserrat" w:hAnsi="Montserrat"/>
          <w:b w:val="false"/>
          <w:bCs w:val="false"/>
          <w:color w:val="626262"/>
          <w:sz w:val="17"/>
          <w:szCs w:val="17"/>
        </w:rPr>
        <w:t xml:space="preserve">	8</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B.4  Tailles minimales</w:t>
      </w:r>
      <w:r>
        <w:rPr>
          <w:rFonts w:ascii="Montserrat" w:cs="Montserrat" w:eastAsia="Montserrat" w:hAnsi="Montserrat"/>
          <w:b w:val="false"/>
          <w:bCs w:val="false"/>
          <w:color w:val="626262"/>
          <w:sz w:val="17"/>
          <w:szCs w:val="17"/>
        </w:rPr>
        <w:t xml:space="preserve">	8</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B.5  Utilisation sur fond clair et sur fond foncé</w:t>
      </w:r>
      <w:r>
        <w:rPr>
          <w:rFonts w:ascii="Montserrat" w:cs="Montserrat" w:eastAsia="Montserrat" w:hAnsi="Montserrat"/>
          <w:b w:val="false"/>
          <w:bCs w:val="false"/>
          <w:color w:val="626262"/>
          <w:sz w:val="17"/>
          <w:szCs w:val="17"/>
        </w:rPr>
        <w:t xml:space="preserve">	9</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B.6  Exemples d’utilisations correctes et incorrectes</w:t>
      </w:r>
      <w:r>
        <w:rPr>
          <w:rFonts w:ascii="Montserrat" w:cs="Montserrat" w:eastAsia="Montserrat" w:hAnsi="Montserrat"/>
          <w:b w:val="false"/>
          <w:bCs w:val="false"/>
          <w:color w:val="626262"/>
          <w:sz w:val="17"/>
          <w:szCs w:val="17"/>
        </w:rPr>
        <w:t xml:space="preserve">	9</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B.7  Fichiers du kit logo</w:t>
      </w:r>
      <w:r>
        <w:rPr>
          <w:rFonts w:ascii="Montserrat" w:cs="Montserrat" w:eastAsia="Montserrat" w:hAnsi="Montserrat"/>
          <w:b w:val="false"/>
          <w:bCs w:val="false"/>
          <w:color w:val="626262"/>
          <w:sz w:val="17"/>
          <w:szCs w:val="17"/>
        </w:rPr>
        <w:t xml:space="preserve">	10</w:t>
      </w:r>
    </w:p>
    <w:p>
      <w:pPr>
        <w:tabs>
          <w:tab w:val="right" w:pos="9638" w:leader="dot"/>
        </w:tabs>
        <w:spacing w:after="20" w:before="110" w:line="244" w:lineRule="auto"/>
        <w:ind w:left="0"/>
      </w:pPr>
      <w:r>
        <w:rPr>
          <w:rFonts w:ascii="Montserrat" w:cs="Montserrat" w:eastAsia="Montserrat" w:hAnsi="Montserrat"/>
          <w:b/>
          <w:bCs/>
          <w:color w:val="0A1D3D"/>
          <w:sz w:val="19"/>
          <w:szCs w:val="19"/>
        </w:rPr>
        <w:t xml:space="preserve">C — Palette officielle</w:t>
      </w:r>
      <w:r>
        <w:rPr>
          <w:rFonts w:ascii="Montserrat" w:cs="Montserrat" w:eastAsia="Montserrat" w:hAnsi="Montserrat"/>
          <w:b/>
          <w:bCs/>
          <w:color w:val="0A1D3D"/>
          <w:sz w:val="19"/>
          <w:szCs w:val="19"/>
        </w:rPr>
        <w:t xml:space="preserve">	11</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C.1  Couleurs principales</w:t>
      </w:r>
      <w:r>
        <w:rPr>
          <w:rFonts w:ascii="Montserrat" w:cs="Montserrat" w:eastAsia="Montserrat" w:hAnsi="Montserrat"/>
          <w:b w:val="false"/>
          <w:bCs w:val="false"/>
          <w:color w:val="626262"/>
          <w:sz w:val="17"/>
          <w:szCs w:val="17"/>
        </w:rPr>
        <w:t xml:space="preserve">	11</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C.2  Rôle et applications</w:t>
      </w:r>
      <w:r>
        <w:rPr>
          <w:rFonts w:ascii="Montserrat" w:cs="Montserrat" w:eastAsia="Montserrat" w:hAnsi="Montserrat"/>
          <w:b w:val="false"/>
          <w:bCs w:val="false"/>
          <w:color w:val="626262"/>
          <w:sz w:val="17"/>
          <w:szCs w:val="17"/>
        </w:rPr>
        <w:t xml:space="preserve">	11</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C.3  Valeurs documentées et valeurs mesurées</w:t>
      </w:r>
      <w:r>
        <w:rPr>
          <w:rFonts w:ascii="Montserrat" w:cs="Montserrat" w:eastAsia="Montserrat" w:hAnsi="Montserrat"/>
          <w:b w:val="false"/>
          <w:bCs w:val="false"/>
          <w:color w:val="626262"/>
          <w:sz w:val="17"/>
          <w:szCs w:val="17"/>
        </w:rPr>
        <w:t xml:space="preserve">	12</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C.4  Valeurs dérivées des supports</w:t>
      </w:r>
      <w:r>
        <w:rPr>
          <w:rFonts w:ascii="Montserrat" w:cs="Montserrat" w:eastAsia="Montserrat" w:hAnsi="Montserrat"/>
          <w:b w:val="false"/>
          <w:bCs w:val="false"/>
          <w:color w:val="626262"/>
          <w:sz w:val="17"/>
          <w:szCs w:val="17"/>
        </w:rPr>
        <w:t xml:space="preserve">	12</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C.5  Contrastes (WCAG 2.1)</w:t>
      </w:r>
      <w:r>
        <w:rPr>
          <w:rFonts w:ascii="Montserrat" w:cs="Montserrat" w:eastAsia="Montserrat" w:hAnsi="Montserrat"/>
          <w:b w:val="false"/>
          <w:bCs w:val="false"/>
          <w:color w:val="626262"/>
          <w:sz w:val="17"/>
          <w:szCs w:val="17"/>
        </w:rPr>
        <w:t xml:space="preserve">	12</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C.6  Règles d’usage</w:t>
      </w:r>
      <w:r>
        <w:rPr>
          <w:rFonts w:ascii="Montserrat" w:cs="Montserrat" w:eastAsia="Montserrat" w:hAnsi="Montserrat"/>
          <w:b w:val="false"/>
          <w:bCs w:val="false"/>
          <w:color w:val="626262"/>
          <w:sz w:val="17"/>
          <w:szCs w:val="17"/>
        </w:rPr>
        <w:t xml:space="preserve">	13</w:t>
      </w:r>
    </w:p>
    <w:p>
      <w:pPr>
        <w:tabs>
          <w:tab w:val="right" w:pos="9638" w:leader="dot"/>
        </w:tabs>
        <w:spacing w:after="20" w:before="110" w:line="244" w:lineRule="auto"/>
        <w:ind w:left="0"/>
      </w:pPr>
      <w:r>
        <w:rPr>
          <w:rFonts w:ascii="Montserrat" w:cs="Montserrat" w:eastAsia="Montserrat" w:hAnsi="Montserrat"/>
          <w:b/>
          <w:bCs/>
          <w:color w:val="0A1D3D"/>
          <w:sz w:val="19"/>
          <w:szCs w:val="19"/>
        </w:rPr>
        <w:t xml:space="preserve">D — Typographie</w:t>
      </w:r>
      <w:r>
        <w:rPr>
          <w:rFonts w:ascii="Montserrat" w:cs="Montserrat" w:eastAsia="Montserrat" w:hAnsi="Montserrat"/>
          <w:b/>
          <w:bCs/>
          <w:color w:val="0A1D3D"/>
          <w:sz w:val="19"/>
          <w:szCs w:val="19"/>
        </w:rPr>
        <w:t xml:space="preserve">	14</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D.1  Famille Montserrat</w:t>
      </w:r>
      <w:r>
        <w:rPr>
          <w:rFonts w:ascii="Montserrat" w:cs="Montserrat" w:eastAsia="Montserrat" w:hAnsi="Montserrat"/>
          <w:b w:val="false"/>
          <w:bCs w:val="false"/>
          <w:color w:val="626262"/>
          <w:sz w:val="17"/>
          <w:szCs w:val="17"/>
        </w:rPr>
        <w:t xml:space="preserve">	14</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D.2  Hiérarchie des textes</w:t>
      </w:r>
      <w:r>
        <w:rPr>
          <w:rFonts w:ascii="Montserrat" w:cs="Montserrat" w:eastAsia="Montserrat" w:hAnsi="Montserrat"/>
          <w:b w:val="false"/>
          <w:bCs w:val="false"/>
          <w:color w:val="626262"/>
          <w:sz w:val="17"/>
          <w:szCs w:val="17"/>
        </w:rPr>
        <w:t xml:space="preserve">	14</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D.3  Principes d’utilisation</w:t>
      </w:r>
      <w:r>
        <w:rPr>
          <w:rFonts w:ascii="Montserrat" w:cs="Montserrat" w:eastAsia="Montserrat" w:hAnsi="Montserrat"/>
          <w:b w:val="false"/>
          <w:bCs w:val="false"/>
          <w:color w:val="626262"/>
          <w:sz w:val="17"/>
          <w:szCs w:val="17"/>
        </w:rPr>
        <w:t xml:space="preserve">	15</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D.4  Dépendance et licence</w:t>
      </w:r>
      <w:r>
        <w:rPr>
          <w:rFonts w:ascii="Montserrat" w:cs="Montserrat" w:eastAsia="Montserrat" w:hAnsi="Montserrat"/>
          <w:b w:val="false"/>
          <w:bCs w:val="false"/>
          <w:color w:val="626262"/>
          <w:sz w:val="17"/>
          <w:szCs w:val="17"/>
        </w:rPr>
        <w:t xml:space="preserve">	15</w:t>
      </w:r>
    </w:p>
    <w:p>
      <w:pPr>
        <w:tabs>
          <w:tab w:val="right" w:pos="9638" w:leader="dot"/>
        </w:tabs>
        <w:spacing w:after="20" w:before="110" w:line="244" w:lineRule="auto"/>
        <w:ind w:left="0"/>
      </w:pPr>
      <w:r>
        <w:rPr>
          <w:rFonts w:ascii="Montserrat" w:cs="Montserrat" w:eastAsia="Montserrat" w:hAnsi="Montserrat"/>
          <w:b/>
          <w:bCs/>
          <w:color w:val="0A1D3D"/>
          <w:sz w:val="19"/>
          <w:szCs w:val="19"/>
        </w:rPr>
        <w:t xml:space="preserve">E — Applications graphiques</w:t>
      </w:r>
      <w:r>
        <w:rPr>
          <w:rFonts w:ascii="Montserrat" w:cs="Montserrat" w:eastAsia="Montserrat" w:hAnsi="Montserrat"/>
          <w:b/>
          <w:bCs/>
          <w:color w:val="0A1D3D"/>
          <w:sz w:val="19"/>
          <w:szCs w:val="19"/>
        </w:rPr>
        <w:t xml:space="preserve">	16</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E.1  Carte de visite</w:t>
      </w:r>
      <w:r>
        <w:rPr>
          <w:rFonts w:ascii="Montserrat" w:cs="Montserrat" w:eastAsia="Montserrat" w:hAnsi="Montserrat"/>
          <w:b w:val="false"/>
          <w:bCs w:val="false"/>
          <w:color w:val="626262"/>
          <w:sz w:val="17"/>
          <w:szCs w:val="17"/>
        </w:rPr>
        <w:t xml:space="preserve">	16</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E.2  Badge professionnel</w:t>
      </w:r>
      <w:r>
        <w:rPr>
          <w:rFonts w:ascii="Montserrat" w:cs="Montserrat" w:eastAsia="Montserrat" w:hAnsi="Montserrat"/>
          <w:b w:val="false"/>
          <w:bCs w:val="false"/>
          <w:color w:val="626262"/>
          <w:sz w:val="17"/>
          <w:szCs w:val="17"/>
        </w:rPr>
        <w:t xml:space="preserve">	17</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E.3  Papeterie, documents officiels et page de garde</w:t>
      </w:r>
      <w:r>
        <w:rPr>
          <w:rFonts w:ascii="Montserrat" w:cs="Montserrat" w:eastAsia="Montserrat" w:hAnsi="Montserrat"/>
          <w:b w:val="false"/>
          <w:bCs w:val="false"/>
          <w:color w:val="626262"/>
          <w:sz w:val="17"/>
          <w:szCs w:val="17"/>
        </w:rPr>
        <w:t xml:space="preserve">	18</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E.4  Présentation institutionnelle</w:t>
      </w:r>
      <w:r>
        <w:rPr>
          <w:rFonts w:ascii="Montserrat" w:cs="Montserrat" w:eastAsia="Montserrat" w:hAnsi="Montserrat"/>
          <w:b w:val="false"/>
          <w:bCs w:val="false"/>
          <w:color w:val="626262"/>
          <w:sz w:val="17"/>
          <w:szCs w:val="17"/>
        </w:rPr>
        <w:t xml:space="preserve">	19</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E.5  Réseaux sociaux, bannière, signature e-mail, icône et favicon</w:t>
      </w:r>
      <w:r>
        <w:rPr>
          <w:rFonts w:ascii="Montserrat" w:cs="Montserrat" w:eastAsia="Montserrat" w:hAnsi="Montserrat"/>
          <w:b w:val="false"/>
          <w:bCs w:val="false"/>
          <w:color w:val="626262"/>
          <w:sz w:val="17"/>
          <w:szCs w:val="17"/>
        </w:rPr>
        <w:t xml:space="preserve">	20</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E.6  Site web et interfaces numériques</w:t>
      </w:r>
      <w:r>
        <w:rPr>
          <w:rFonts w:ascii="Montserrat" w:cs="Montserrat" w:eastAsia="Montserrat" w:hAnsi="Montserrat"/>
          <w:b w:val="false"/>
          <w:bCs w:val="false"/>
          <w:color w:val="626262"/>
          <w:sz w:val="17"/>
          <w:szCs w:val="17"/>
        </w:rPr>
        <w:t xml:space="preserve">	21</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E.7  Signalétique</w:t>
      </w:r>
      <w:r>
        <w:rPr>
          <w:rFonts w:ascii="Montserrat" w:cs="Montserrat" w:eastAsia="Montserrat" w:hAnsi="Montserrat"/>
          <w:b w:val="false"/>
          <w:bCs w:val="false"/>
          <w:color w:val="626262"/>
          <w:sz w:val="17"/>
          <w:szCs w:val="17"/>
        </w:rPr>
        <w:t xml:space="preserve">	21</w:t>
      </w:r>
    </w:p>
    <w:p>
      <w:pPr>
        <w:tabs>
          <w:tab w:val="right" w:pos="9638" w:leader="dot"/>
        </w:tabs>
        <w:spacing w:after="20" w:before="110" w:line="244" w:lineRule="auto"/>
        <w:ind w:left="0"/>
      </w:pPr>
      <w:r>
        <w:rPr>
          <w:rFonts w:ascii="Montserrat" w:cs="Montserrat" w:eastAsia="Montserrat" w:hAnsi="Montserrat"/>
          <w:b/>
          <w:bCs/>
          <w:color w:val="0A1D3D"/>
          <w:sz w:val="19"/>
          <w:szCs w:val="19"/>
        </w:rPr>
        <w:t xml:space="preserve">F — Règles techniques</w:t>
      </w:r>
      <w:r>
        <w:rPr>
          <w:rFonts w:ascii="Montserrat" w:cs="Montserrat" w:eastAsia="Montserrat" w:hAnsi="Montserrat"/>
          <w:b/>
          <w:bCs/>
          <w:color w:val="0A1D3D"/>
          <w:sz w:val="19"/>
          <w:szCs w:val="19"/>
        </w:rPr>
        <w:t xml:space="preserve">	22</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F.1  Marges et zones de sécurité</w:t>
      </w:r>
      <w:r>
        <w:rPr>
          <w:rFonts w:ascii="Montserrat" w:cs="Montserrat" w:eastAsia="Montserrat" w:hAnsi="Montserrat"/>
          <w:b w:val="false"/>
          <w:bCs w:val="false"/>
          <w:color w:val="626262"/>
          <w:sz w:val="17"/>
          <w:szCs w:val="17"/>
        </w:rPr>
        <w:t xml:space="preserve">	22</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F.2  Fonds perdus</w:t>
      </w:r>
      <w:r>
        <w:rPr>
          <w:rFonts w:ascii="Montserrat" w:cs="Montserrat" w:eastAsia="Montserrat" w:hAnsi="Montserrat"/>
          <w:b w:val="false"/>
          <w:bCs w:val="false"/>
          <w:color w:val="626262"/>
          <w:sz w:val="17"/>
          <w:szCs w:val="17"/>
        </w:rPr>
        <w:t xml:space="preserve">	22</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F.3  Résolutions</w:t>
      </w:r>
      <w:r>
        <w:rPr>
          <w:rFonts w:ascii="Montserrat" w:cs="Montserrat" w:eastAsia="Montserrat" w:hAnsi="Montserrat"/>
          <w:b w:val="false"/>
          <w:bCs w:val="false"/>
          <w:color w:val="626262"/>
          <w:sz w:val="17"/>
          <w:szCs w:val="17"/>
        </w:rPr>
        <w:t xml:space="preserve">	22</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F.4  Formats de fichiers</w:t>
      </w:r>
      <w:r>
        <w:rPr>
          <w:rFonts w:ascii="Montserrat" w:cs="Montserrat" w:eastAsia="Montserrat" w:hAnsi="Montserrat"/>
          <w:b w:val="false"/>
          <w:bCs w:val="false"/>
          <w:color w:val="626262"/>
          <w:sz w:val="17"/>
          <w:szCs w:val="17"/>
        </w:rPr>
        <w:t xml:space="preserve">	23</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F.5  Profils colorimétriques</w:t>
      </w:r>
      <w:r>
        <w:rPr>
          <w:rFonts w:ascii="Montserrat" w:cs="Montserrat" w:eastAsia="Montserrat" w:hAnsi="Montserrat"/>
          <w:b w:val="false"/>
          <w:bCs w:val="false"/>
          <w:color w:val="626262"/>
          <w:sz w:val="17"/>
          <w:szCs w:val="17"/>
        </w:rPr>
        <w:t xml:space="preserve">	23</w:t>
      </w:r>
    </w:p>
    <w:p>
      <w:pPr>
        <w:tabs>
          <w:tab w:val="right" w:pos="9638" w:leader="dot"/>
        </w:tabs>
        <w:spacing w:after="0" w:before="0" w:line="244" w:lineRule="auto"/>
        <w:ind w:left="340"/>
      </w:pPr>
      <w:r>
        <w:rPr>
          <w:rFonts w:ascii="Montserrat" w:cs="Montserrat" w:eastAsia="Montserrat" w:hAnsi="Montserrat"/>
          <w:b w:val="false"/>
          <w:bCs w:val="false"/>
          <w:color w:val="1E1E1E"/>
          <w:sz w:val="17"/>
          <w:szCs w:val="17"/>
        </w:rPr>
        <w:t xml:space="preserve">F.6  Nomenclature et organisation des fichiers</w:t>
      </w:r>
      <w:r>
        <w:rPr>
          <w:rFonts w:ascii="Montserrat" w:cs="Montserrat" w:eastAsia="Montserrat" w:hAnsi="Montserrat"/>
          <w:b w:val="false"/>
          <w:bCs w:val="false"/>
          <w:color w:val="626262"/>
          <w:sz w:val="17"/>
          <w:szCs w:val="17"/>
        </w:rPr>
        <w:t xml:space="preserve">	23</w:t>
      </w:r>
    </w:p>
    <w:p>
      <w:pPr>
        <w:tabs>
          <w:tab w:val="right" w:pos="9638" w:leader="dot"/>
        </w:tabs>
        <w:spacing w:after="20" w:before="110" w:line="244" w:lineRule="auto"/>
        <w:ind w:left="0"/>
      </w:pPr>
      <w:r>
        <w:rPr>
          <w:rFonts w:ascii="Montserrat" w:cs="Montserrat" w:eastAsia="Montserrat" w:hAnsi="Montserrat"/>
          <w:b/>
          <w:bCs/>
          <w:color w:val="0A1D3D"/>
          <w:sz w:val="19"/>
          <w:szCs w:val="19"/>
        </w:rPr>
        <w:t xml:space="preserve">Annexe — Limites techniques et écarts connus</w:t>
      </w:r>
      <w:r>
        <w:rPr>
          <w:rFonts w:ascii="Montserrat" w:cs="Montserrat" w:eastAsia="Montserrat" w:hAnsi="Montserrat"/>
          <w:b/>
          <w:bCs/>
          <w:color w:val="0A1D3D"/>
          <w:sz w:val="19"/>
          <w:szCs w:val="19"/>
        </w:rPr>
        <w:t xml:space="preserve">	24</w:t>
      </w:r>
    </w:p>
    <w:p>
      <w:pPr>
        <w:pStyle w:val="Heading1"/>
        <w:pageBreakBefore/>
      </w:pPr>
      <w:r>
        <w:rPr>
          <w:rFonts w:ascii="Montserrat" w:cs="Montserrat" w:eastAsia="Montserrat" w:hAnsi="Montserrat"/>
          <w:b/>
          <w:bCs/>
          <w:color w:val="0A1D3D"/>
          <w:sz w:val="34"/>
          <w:szCs w:val="34"/>
        </w:rPr>
        <w:t xml:space="preserve">Lire cette charte</w:t>
      </w:r>
    </w:p>
    <w:p>
      <w:pPr>
        <w:pStyle w:val="TTGCorps"/>
      </w:pPr>
      <w:r>
        <w:rPr>
          <w:rFonts w:ascii="Montserrat" w:cs="Montserrat" w:eastAsia="Montserrat" w:hAnsi="Montserrat"/>
          <w:color w:val="1E1E1E"/>
          <w:sz w:val="19"/>
          <w:szCs w:val="19"/>
        </w:rPr>
        <w:t xml:space="preserve">Cette charte formalise l’identité visuelle de </w:t>
      </w:r>
      <w:r>
        <w:rPr>
          <w:rFonts w:ascii="Montserrat" w:cs="Montserrat" w:eastAsia="Montserrat" w:hAnsi="Montserrat"/>
          <w:b/>
          <w:bCs/>
          <w:color w:val="1E1E1E"/>
          <w:sz w:val="19"/>
          <w:szCs w:val="19"/>
        </w:rPr>
        <w:t xml:space="preserve">TechnologyTrade Group</w:t>
      </w:r>
      <w:r>
        <w:rPr>
          <w:rFonts w:ascii="Montserrat" w:cs="Montserrat" w:eastAsia="Montserrat" w:hAnsi="Montserrat"/>
          <w:color w:val="1E1E1E"/>
          <w:sz w:val="19"/>
          <w:szCs w:val="19"/>
        </w:rPr>
        <w:t xml:space="preserve"> à partir de trois fichiers de référence fournis : le logo (PNG 370 × 109 px), la maquette de carte de visite (PNG 212 × 144 px) et la planche d’identité (PNG 800 × 800 px). Aucun visuel extérieur n’a été ajouté. Les règles sont complétées uniquement lorsque la planche est muette, et ce complément est alors signalé.</w:t>
      </w:r>
    </w:p>
    <w:p>
      <w:pPr>
        <w:pStyle w:val="Heading2"/>
      </w:pPr>
      <w:r>
        <w:rPr>
          <w:rFonts w:ascii="Montserrat" w:cs="Montserrat" w:eastAsia="Montserrat" w:hAnsi="Montserrat"/>
          <w:b/>
          <w:bCs/>
          <w:color w:val="0A1D3D"/>
          <w:sz w:val="24"/>
          <w:szCs w:val="24"/>
        </w:rPr>
        <w:t xml:space="preserve">Statut des valeurs</w:t>
      </w:r>
    </w:p>
    <w:p>
      <w:pPr>
        <w:pStyle w:val="TTGCorps"/>
      </w:pPr>
      <w:r>
        <w:rPr>
          <w:rFonts w:ascii="Montserrat" w:cs="Montserrat" w:eastAsia="Montserrat" w:hAnsi="Montserrat"/>
          <w:color w:val="1E1E1E"/>
          <w:sz w:val="19"/>
          <w:szCs w:val="19"/>
        </w:rPr>
        <w:t xml:space="preserve">Chaque valeur chiffrée porte un statut, afin de distinguer ce que la planche écrit de ce qui a été mesuré ou déduit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10"/>
        <w:gridCol w:w="8228"/>
      </w:tblGrid>
      <w:tr>
        <w:trPr>
          <w:cantSplit/>
          <w:tblHeader/>
        </w:trPr>
        <w:tc>
          <w:tcPr>
            <w:tcW w:type="dxa" w:w="1410"/>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Statut</w:t>
            </w:r>
          </w:p>
        </w:tc>
        <w:tc>
          <w:tcPr>
            <w:tcW w:type="dxa" w:w="8228"/>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Signification</w:t>
            </w:r>
          </w:p>
        </w:tc>
      </w:tr>
      <w:tr>
        <w:trPr>
          <w:cantSplit/>
        </w:trPr>
        <w:tc>
          <w:tcPr>
            <w:tcW w:type="dxa" w:w="1410"/>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0A676"/>
                <w:sz w:val="16"/>
                <w:szCs w:val="16"/>
              </w:rPr>
              <w:t xml:space="preserve">Documenté</w:t>
            </w:r>
          </w:p>
        </w:tc>
        <w:tc>
          <w:tcPr>
            <w:tcW w:type="dxa" w:w="822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Valeur écrite ou dessinée sur la planche de référence (texte lu sur l’image : noms, HEX, RVB, CMJN, graisses, « 24 px / 8 mm »).</w:t>
            </w:r>
          </w:p>
        </w:tc>
      </w:tr>
      <w:tr>
        <w:trPr>
          <w:cantSplit/>
        </w:trPr>
        <w:tc>
          <w:tcPr>
            <w:tcW w:type="dxa" w:w="1410"/>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A1D3D"/>
                <w:sz w:val="16"/>
                <w:szCs w:val="16"/>
              </w:rPr>
              <w:t xml:space="preserve">Mesuré</w:t>
            </w:r>
          </w:p>
        </w:tc>
        <w:tc>
          <w:tcPr>
            <w:tcW w:type="dxa" w:w="822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Valeur relevée sur les fichiers fournis (aplats du logo, proportions du logo, géométrie de la maquette de carte). Précision limitée par la basse résolution des sources.</w:t>
            </w:r>
          </w:p>
        </w:tc>
      </w:tr>
      <w:tr>
        <w:trPr>
          <w:cantSplit/>
        </w:trPr>
        <w:tc>
          <w:tcPr>
            <w:tcW w:type="dxa" w:w="1410"/>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c>
          <w:tcPr>
            <w:tcW w:type="dxa" w:w="822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Valeur proposée par le kit pour rendre les supports exploitables (tailles de texte, tailles minimales du logo complet, rayons d’angle…). Non documentée : à valider par la direction de marque.</w:t>
            </w:r>
          </w:p>
        </w:tc>
      </w:tr>
    </w:tbl>
    <w:p>
      <w:pPr>
        <w:spacing w:after="160" w:before="0"/>
      </w:pPr>
      <w:r>
        <w:rPr>
          <w:rFonts w:ascii="Montserrat" w:cs="Montserrat" w:eastAsia="Montserrat" w:hAnsi="Montserrat"/>
          <w:color w:val="1E1E1E"/>
          <w:sz w:val="19"/>
          <w:szCs w:val="19"/>
        </w:rPr>
        <w:t xml:space="preserve"/>
      </w:r>
    </w:p>
    <w:p>
      <w:pPr>
        <w:pStyle w:val="Heading2"/>
      </w:pPr>
      <w:r>
        <w:rPr>
          <w:rFonts w:ascii="Montserrat" w:cs="Montserrat" w:eastAsia="Montserrat" w:hAnsi="Montserrat"/>
          <w:b/>
          <w:bCs/>
          <w:color w:val="0A1D3D"/>
          <w:sz w:val="24"/>
          <w:szCs w:val="24"/>
        </w:rPr>
        <w:t xml:space="preserve">Fichiers de référence et limites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56"/>
        <w:gridCol w:w="1071"/>
        <w:gridCol w:w="2856"/>
        <w:gridCol w:w="2855"/>
      </w:tblGrid>
      <w:tr>
        <w:trPr>
          <w:cantSplit/>
          <w:tblHeader/>
        </w:trPr>
        <w:tc>
          <w:tcPr>
            <w:tcW w:type="dxa" w:w="2856"/>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Fichier</w:t>
            </w:r>
          </w:p>
        </w:tc>
        <w:tc>
          <w:tcPr>
            <w:tcW w:type="dxa" w:w="1071"/>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Format</w:t>
            </w:r>
          </w:p>
        </w:tc>
        <w:tc>
          <w:tcPr>
            <w:tcW w:type="dxa" w:w="2856"/>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Usage dans la charte</w:t>
            </w:r>
          </w:p>
        </w:tc>
        <w:tc>
          <w:tcPr>
            <w:tcW w:type="dxa" w:w="2855"/>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Limite</w:t>
            </w:r>
          </w:p>
        </w:tc>
      </w:tr>
      <w:tr>
        <w:trPr>
          <w:cantSplit/>
        </w:trPr>
        <w:tc>
          <w:tcPr>
            <w:tcW w:type="dxa" w:w="2856"/>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Untitled_Project_-_illustrationimage_LONG.png</w:t>
            </w:r>
          </w:p>
        </w:tc>
        <w:tc>
          <w:tcPr>
            <w:tcW w:type="dxa" w:w="1071"/>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370 × 109 px</w:t>
            </w:r>
          </w:p>
        </w:tc>
        <w:tc>
          <w:tcPr>
            <w:tcW w:type="dxa" w:w="2856"/>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Logo officiel : référence unique du dessin et des encres</w:t>
            </w:r>
          </w:p>
        </w:tc>
        <w:tc>
          <w:tcPr>
            <w:tcW w:type="dxa" w:w="2855"/>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Basse résolution : vectorisation à ±0,5 px source</w:t>
            </w:r>
          </w:p>
        </w:tc>
      </w:tr>
      <w:tr>
        <w:trPr>
          <w:cantSplit/>
        </w:trPr>
        <w:tc>
          <w:tcPr>
            <w:tcW w:type="dxa" w:w="2856"/>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Carte_de_visite.png</w:t>
            </w:r>
          </w:p>
        </w:tc>
        <w:tc>
          <w:tcPr>
            <w:tcW w:type="dxa" w:w="1071"/>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212 × 144 px</w:t>
            </w:r>
          </w:p>
        </w:tc>
        <w:tc>
          <w:tcPr>
            <w:tcW w:type="dxa" w:w="2856"/>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Composition de la carte (deux faces, motif, coordonnées)</w:t>
            </w:r>
          </w:p>
        </w:tc>
        <w:tc>
          <w:tcPr>
            <w:tcW w:type="dxa" w:w="2855"/>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Vue en perspective : positions déduites à ±0,5 mm ; texte de contact illisible</w:t>
            </w:r>
          </w:p>
        </w:tc>
      </w:tr>
      <w:tr>
        <w:trPr>
          <w:cantSplit/>
        </w:trPr>
        <w:tc>
          <w:tcPr>
            <w:tcW w:type="dxa" w:w="2856"/>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Untitled_Project_-_illustrationimage.png</w:t>
            </w:r>
          </w:p>
        </w:tc>
        <w:tc>
          <w:tcPr>
            <w:tcW w:type="dxa" w:w="1071"/>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800 × 800 px</w:t>
            </w:r>
          </w:p>
        </w:tc>
        <w:tc>
          <w:tcPr>
            <w:tcW w:type="dxa" w:w="2856"/>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Système de logo, palette, typographie, taille minimale, architecture de marque, applications</w:t>
            </w:r>
          </w:p>
        </w:tc>
        <w:tc>
          <w:tcPr>
            <w:tcW w:type="dxa" w:w="2855"/>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Valeurs lues sur image basse résolution ; photographie de ville non reproductible</w:t>
            </w:r>
          </w:p>
        </w:tc>
      </w:tr>
    </w:tbl>
    <w:p>
      <w:pPr>
        <w:spacing w:after="100" w:before="0"/>
      </w:pPr>
      <w:r>
        <w:rPr>
          <w:rFonts w:ascii="Montserrat" w:cs="Montserrat" w:eastAsia="Montserrat" w:hAnsi="Montserrat"/>
          <w:color w:val="1E1E1E"/>
          <w:sz w:val="19"/>
          <w:szCs w:val="19"/>
        </w:rPr>
        <w:t xml:space="preserve"/>
      </w:r>
    </w:p>
    <w:p>
      <w:pPr>
        <w:pStyle w:val="TTGNote"/>
      </w:pPr>
      <w:r>
        <w:rPr>
          <w:rFonts w:ascii="Montserrat" w:cs="Montserrat" w:eastAsia="Montserrat" w:hAnsi="Montserrat"/>
          <w:color w:val="626262"/>
          <w:sz w:val="15"/>
          <w:szCs w:val="15"/>
        </w:rPr>
        <w:t xml:space="preserve">Les directions 1 et 3 de la planche sont des pistes abandonnées : elles n’apparaissent dans aucun fichier du kit. Direction retenue : « Hub of Continents ».</w:t>
      </w:r>
    </w:p>
    <w:p>
      <w:pPr>
        <w:pStyle w:val="Heading1"/>
        <w:pageBreakBefore/>
      </w:pPr>
      <w:r>
        <w:rPr>
          <w:rFonts w:ascii="Montserrat" w:cs="Montserrat" w:eastAsia="Montserrat" w:hAnsi="Montserrat"/>
          <w:b/>
          <w:bCs/>
          <w:color w:val="0A1D3D"/>
          <w:sz w:val="34"/>
          <w:szCs w:val="34"/>
        </w:rPr>
        <w:t xml:space="preserve">A — Présentation de l’identité</w:t>
      </w:r>
    </w:p>
    <w:p>
      <w:pPr>
        <w:pStyle w:val="Heading2"/>
      </w:pPr>
      <w:r>
        <w:rPr>
          <w:rFonts w:ascii="Montserrat" w:cs="Montserrat" w:eastAsia="Montserrat" w:hAnsi="Montserrat"/>
          <w:b/>
          <w:bCs/>
          <w:color w:val="0A1D3D"/>
          <w:sz w:val="24"/>
          <w:szCs w:val="24"/>
        </w:rPr>
        <w:t xml:space="preserve">A.1  La marque</w:t>
      </w:r>
    </w:p>
    <w:p>
      <w:pPr>
        <w:pStyle w:val="TTGCorps"/>
      </w:pPr>
      <w:r>
        <w:rPr>
          <w:rFonts w:ascii="Montserrat" w:cs="Montserrat" w:eastAsia="Montserrat" w:hAnsi="Montserrat"/>
          <w:b/>
          <w:bCs/>
          <w:color w:val="1E1E1E"/>
          <w:sz w:val="19"/>
          <w:szCs w:val="19"/>
        </w:rPr>
        <w:t xml:space="preserve">TechnologyTrade Group</w:t>
      </w:r>
      <w:r>
        <w:rPr>
          <w:rFonts w:ascii="Montserrat" w:cs="Montserrat" w:eastAsia="Montserrat" w:hAnsi="Montserrat"/>
          <w:color w:val="1E1E1E"/>
          <w:sz w:val="19"/>
          <w:szCs w:val="19"/>
        </w:rPr>
        <w:t xml:space="preserve"> est le nom de marque. Il se compose de « TechnologyTrade » (technologie et commerce) suivi de « Group », écrits en deux lignes dans le logo principal. La planche place l’identité dans une perspective </w:t>
      </w:r>
      <w:r>
        <w:rPr>
          <w:rFonts w:ascii="Montserrat" w:cs="Montserrat" w:eastAsia="Montserrat" w:hAnsi="Montserrat"/>
          <w:b/>
          <w:bCs/>
          <w:color w:val="1E1E1E"/>
          <w:sz w:val="19"/>
          <w:szCs w:val="19"/>
        </w:rPr>
        <w:t xml:space="preserve">africaine et mondiale</w:t>
      </w:r>
      <w:r>
        <w:rPr>
          <w:rFonts w:ascii="Montserrat" w:cs="Montserrat" w:eastAsia="Montserrat" w:hAnsi="Montserrat"/>
          <w:color w:val="1E1E1E"/>
          <w:sz w:val="19"/>
          <w:szCs w:val="19"/>
        </w:rPr>
        <w:t xml:space="preserve"> : infrastructure numérique, échanges, connexion des marchés et des technologies.</w:t>
      </w:r>
    </w:p>
    <w:p>
      <w:pPr>
        <w:pStyle w:val="Heading2"/>
      </w:pPr>
      <w:r>
        <w:rPr>
          <w:rFonts w:ascii="Montserrat" w:cs="Montserrat" w:eastAsia="Montserrat" w:hAnsi="Montserrat"/>
          <w:b/>
          <w:bCs/>
          <w:color w:val="0A1D3D"/>
          <w:sz w:val="24"/>
          <w:szCs w:val="24"/>
        </w:rPr>
        <w:t xml:space="preserve">A.2  Direction retenue : Hub of Continents</w:t>
      </w:r>
    </w:p>
    <w:p>
      <w:pPr>
        <w:pStyle w:val="TTGCorps"/>
      </w:pPr>
      <w:r>
        <w:rPr>
          <w:rFonts w:ascii="Montserrat" w:cs="Montserrat" w:eastAsia="Montserrat" w:hAnsi="Montserrat"/>
          <w:color w:val="1E1E1E"/>
          <w:sz w:val="19"/>
          <w:szCs w:val="19"/>
        </w:rPr>
        <w:t xml:space="preserve">La planche présente trois directions créatives. La </w:t>
      </w:r>
      <w:r>
        <w:rPr>
          <w:rFonts w:ascii="Montserrat" w:cs="Montserrat" w:eastAsia="Montserrat" w:hAnsi="Montserrat"/>
          <w:b/>
          <w:bCs/>
          <w:color w:val="1E1E1E"/>
          <w:sz w:val="19"/>
          <w:szCs w:val="19"/>
        </w:rPr>
        <w:t xml:space="preserve">Direction 2, « Hub of Continents »</w:t>
      </w:r>
      <w:r>
        <w:rPr>
          <w:rFonts w:ascii="Montserrat" w:cs="Montserrat" w:eastAsia="Montserrat" w:hAnsi="Montserrat"/>
          <w:color w:val="1E1E1E"/>
          <w:sz w:val="19"/>
          <w:szCs w:val="19"/>
        </w:rPr>
        <w:t xml:space="preserve">, est la seule retenue ; elle est décrite ainsi sur la planche (textes d’origine en anglais)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4190"/>
        <w:gridCol w:w="4191"/>
      </w:tblGrid>
      <w:tr>
        <w:trPr>
          <w:cantSplit/>
          <w:tblHeader/>
        </w:trPr>
        <w:tc>
          <w:tcPr>
            <w:tcW w:type="dxa" w:w="1257"/>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Élément</w:t>
            </w:r>
          </w:p>
        </w:tc>
        <w:tc>
          <w:tcPr>
            <w:tcW w:type="dxa" w:w="4190"/>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Texte de la planche</w:t>
            </w:r>
          </w:p>
        </w:tc>
        <w:tc>
          <w:tcPr>
            <w:tcW w:type="dxa" w:w="4191"/>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Traduction indicative</w:t>
            </w:r>
          </w:p>
        </w:tc>
      </w:tr>
      <w:tr>
        <w:trPr>
          <w:cantSplit/>
        </w:trPr>
        <w:tc>
          <w:tcPr>
            <w:tcW w:type="dxa" w:w="125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Symbole</w:t>
            </w:r>
          </w:p>
        </w:tc>
        <w:tc>
          <w:tcPr>
            <w:tcW w:type="dxa" w:w="4190"/>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Radial hub representing Africa at the center of global connections.</w:t>
            </w:r>
          </w:p>
        </w:tc>
        <w:tc>
          <w:tcPr>
            <w:tcW w:type="dxa" w:w="4191"/>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Hub radial représentant l’Afrique au centre des connexions mondiales.</w:t>
            </w:r>
          </w:p>
        </w:tc>
      </w:tr>
      <w:tr>
        <w:trPr>
          <w:cantSplit/>
        </w:trPr>
        <w:tc>
          <w:tcPr>
            <w:tcW w:type="dxa" w:w="125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Typographie</w:t>
            </w:r>
          </w:p>
        </w:tc>
        <w:tc>
          <w:tcPr>
            <w:tcW w:type="dxa" w:w="4190"/>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Confident, global, balanced.</w:t>
            </w:r>
          </w:p>
        </w:tc>
        <w:tc>
          <w:tcPr>
            <w:tcW w:type="dxa" w:w="4191"/>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Affirmée, globale, équilibrée.</w:t>
            </w:r>
          </w:p>
        </w:tc>
      </w:tr>
      <w:tr>
        <w:trPr>
          <w:cantSplit/>
        </w:trPr>
        <w:tc>
          <w:tcPr>
            <w:tcW w:type="dxa" w:w="125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Couleurs</w:t>
            </w:r>
          </w:p>
        </w:tc>
        <w:tc>
          <w:tcPr>
            <w:tcW w:type="dxa" w:w="4190"/>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Navy + Green with neutral base.</w:t>
            </w:r>
          </w:p>
        </w:tc>
        <w:tc>
          <w:tcPr>
            <w:tcW w:type="dxa" w:w="4191"/>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Bleu marine + vert sur une base neutre.</w:t>
            </w:r>
          </w:p>
        </w:tc>
      </w:tr>
      <w:tr>
        <w:trPr>
          <w:cantSplit/>
        </w:trPr>
        <w:tc>
          <w:tcPr>
            <w:tcW w:type="dxa" w:w="125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Signification</w:t>
            </w:r>
          </w:p>
        </w:tc>
        <w:tc>
          <w:tcPr>
            <w:tcW w:type="dxa" w:w="4190"/>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Africa-centered connectivity, radiating trade, technology and value.</w:t>
            </w:r>
          </w:p>
        </w:tc>
        <w:tc>
          <w:tcPr>
            <w:tcW w:type="dxa" w:w="4191"/>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Connectivité centrée sur l’Afrique, commerce, technologie et valeur qui rayonnent.</w:t>
            </w:r>
          </w:p>
        </w:tc>
      </w:tr>
    </w:tbl>
    <w:p>
      <w:pPr>
        <w:spacing w:after="120" w:before="0"/>
      </w:pPr>
      <w:r>
        <w:rPr>
          <w:rFonts w:ascii="Montserrat" w:cs="Montserrat" w:eastAsia="Montserrat" w:hAnsi="Montserrat"/>
          <w:color w:val="1E1E1E"/>
          <w:sz w:val="19"/>
          <w:szCs w:val="19"/>
        </w:rPr>
        <w:t xml:space="preserve"/>
      </w:r>
    </w:p>
    <w:p>
      <w:pPr>
        <w:pStyle w:val="Heading3"/>
      </w:pPr>
      <w:r>
        <w:rPr>
          <w:rFonts w:ascii="Montserrat" w:cs="Montserrat" w:eastAsia="Montserrat" w:hAnsi="Montserrat"/>
          <w:b/>
          <w:bCs/>
          <w:color w:val="00A676"/>
          <w:sz w:val="20"/>
          <w:szCs w:val="20"/>
        </w:rPr>
        <w:t xml:space="preserve">Le concept visuel du symbole</w:t>
      </w:r>
    </w:p>
    <w:p>
      <w:pPr>
        <w:pStyle w:val="TTGCorps"/>
      </w:pPr>
      <w:r>
        <w:rPr>
          <w:rFonts w:ascii="Montserrat" w:cs="Montserrat" w:eastAsia="Montserrat" w:hAnsi="Montserrat"/>
          <w:color w:val="1E1E1E"/>
          <w:sz w:val="19"/>
          <w:szCs w:val="19"/>
        </w:rPr>
        <w:t xml:space="preserve">Le symbole est une </w:t>
      </w:r>
      <w:r>
        <w:rPr>
          <w:rFonts w:ascii="Montserrat" w:cs="Montserrat" w:eastAsia="Montserrat" w:hAnsi="Montserrat"/>
          <w:b/>
          <w:bCs/>
          <w:color w:val="1E1E1E"/>
          <w:sz w:val="19"/>
          <w:szCs w:val="19"/>
        </w:rPr>
        <w:t xml:space="preserve">couronne de rayons</w:t>
      </w:r>
      <w:r>
        <w:rPr>
          <w:rFonts w:ascii="Montserrat" w:cs="Montserrat" w:eastAsia="Montserrat" w:hAnsi="Montserrat"/>
          <w:color w:val="1E1E1E"/>
          <w:sz w:val="19"/>
          <w:szCs w:val="19"/>
        </w:rPr>
        <w:t xml:space="preserve"> disposés en cercle autour d’un centre ouvert, comme un hub dont les lignes rayonnent vers l’extérieur. La partie supérieure droite des rayons est en </w:t>
      </w:r>
      <w:r>
        <w:rPr>
          <w:rFonts w:ascii="Montserrat" w:cs="Montserrat" w:eastAsia="Montserrat" w:hAnsi="Montserrat"/>
          <w:b/>
          <w:bCs/>
          <w:color w:val="1E1E1E"/>
          <w:sz w:val="19"/>
          <w:szCs w:val="19"/>
        </w:rPr>
        <w:t xml:space="preserve">Emerald Green</w:t>
      </w:r>
      <w:r>
        <w:rPr>
          <w:rFonts w:ascii="Montserrat" w:cs="Montserrat" w:eastAsia="Montserrat" w:hAnsi="Montserrat"/>
          <w:color w:val="1E1E1E"/>
          <w:sz w:val="19"/>
          <w:szCs w:val="19"/>
        </w:rPr>
        <w:t xml:space="preserve">, le reste en </w:t>
      </w:r>
      <w:r>
        <w:rPr>
          <w:rFonts w:ascii="Montserrat" w:cs="Montserrat" w:eastAsia="Montserrat" w:hAnsi="Montserrat"/>
          <w:b/>
          <w:bCs/>
          <w:color w:val="1E1E1E"/>
          <w:sz w:val="19"/>
          <w:szCs w:val="19"/>
        </w:rPr>
        <w:t xml:space="preserve">Deep Navy</w:t>
      </w:r>
      <w:r>
        <w:rPr>
          <w:rFonts w:ascii="Montserrat" w:cs="Montserrat" w:eastAsia="Montserrat" w:hAnsi="Montserrat"/>
          <w:color w:val="1E1E1E"/>
          <w:sz w:val="19"/>
          <w:szCs w:val="19"/>
        </w:rPr>
        <w:t xml:space="preserve"> ; un court rayon vertical se détache sous l’ouverture centrale. Le dessin est conservé tel que fourni : structure radiale, nombre de rayons, orientation et proportions ne sont jamais modifiés.</w:t>
      </w:r>
    </w:p>
    <w:p>
      <w:pPr>
        <w:pStyle w:val="Heading3"/>
      </w:pPr>
      <w:r>
        <w:rPr>
          <w:rFonts w:ascii="Montserrat" w:cs="Montserrat" w:eastAsia="Montserrat" w:hAnsi="Montserrat"/>
          <w:b/>
          <w:bCs/>
          <w:color w:val="00A676"/>
          <w:sz w:val="20"/>
          <w:szCs w:val="20"/>
        </w:rPr>
        <w:t xml:space="preserve">Composition du logo principal</w:t>
      </w:r>
    </w:p>
    <w:p>
      <w:pPr>
        <w:pStyle w:val="ListParagraph"/>
        <w:numPr>
          <w:ilvl w:val="0"/>
          <w:numId w:val="2"/>
        </w:numPr>
        <w:spacing w:after="70"/>
      </w:pPr>
      <w:r>
        <w:rPr>
          <w:rFonts w:ascii="Montserrat" w:cs="Montserrat" w:eastAsia="Montserrat" w:hAnsi="Montserrat"/>
          <w:b/>
          <w:bCs/>
          <w:color w:val="1E1E1E"/>
          <w:sz w:val="19"/>
          <w:szCs w:val="19"/>
        </w:rPr>
        <w:t xml:space="preserve">Symbole</w:t>
      </w:r>
      <w:r>
        <w:rPr>
          <w:rFonts w:ascii="Montserrat" w:cs="Montserrat" w:eastAsia="Montserrat" w:hAnsi="Montserrat"/>
          <w:color w:val="1E1E1E"/>
          <w:sz w:val="19"/>
          <w:szCs w:val="19"/>
        </w:rPr>
        <w:t xml:space="preserve"> radial (à gauche) ;</w:t>
      </w:r>
    </w:p>
    <w:p>
      <w:pPr>
        <w:pStyle w:val="ListParagraph"/>
        <w:numPr>
          <w:ilvl w:val="0"/>
          <w:numId w:val="2"/>
        </w:numPr>
        <w:spacing w:after="70"/>
      </w:pPr>
      <w:r>
        <w:rPr>
          <w:rFonts w:ascii="Montserrat" w:cs="Montserrat" w:eastAsia="Montserrat" w:hAnsi="Montserrat"/>
          <w:b/>
          <w:bCs/>
          <w:color w:val="1E1E1E"/>
          <w:sz w:val="19"/>
          <w:szCs w:val="19"/>
        </w:rPr>
        <w:t xml:space="preserve">filet vertical</w:t>
      </w:r>
      <w:r>
        <w:rPr>
          <w:rFonts w:ascii="Montserrat" w:cs="Montserrat" w:eastAsia="Montserrat" w:hAnsi="Montserrat"/>
          <w:color w:val="1E1E1E"/>
          <w:sz w:val="19"/>
          <w:szCs w:val="19"/>
        </w:rPr>
        <w:t xml:space="preserve"> gris clair (mesuré : RVB 226/225/226) ;</w:t>
      </w:r>
    </w:p>
    <w:p>
      <w:pPr>
        <w:pStyle w:val="ListParagraph"/>
        <w:numPr>
          <w:ilvl w:val="0"/>
          <w:numId w:val="2"/>
        </w:numPr>
        <w:spacing w:after="70"/>
      </w:pPr>
      <w:r>
        <w:rPr>
          <w:rFonts w:ascii="Montserrat" w:cs="Montserrat" w:eastAsia="Montserrat" w:hAnsi="Montserrat"/>
          <w:b/>
          <w:bCs/>
          <w:color w:val="1E1E1E"/>
          <w:sz w:val="19"/>
          <w:szCs w:val="19"/>
        </w:rPr>
        <w:t xml:space="preserve">nom de marque</w:t>
      </w:r>
      <w:r>
        <w:rPr>
          <w:rFonts w:ascii="Montserrat" w:cs="Montserrat" w:eastAsia="Montserrat" w:hAnsi="Montserrat"/>
          <w:color w:val="1E1E1E"/>
          <w:sz w:val="19"/>
          <w:szCs w:val="19"/>
        </w:rPr>
        <w:t xml:space="preserve"> en deux lignes, « TechnologyTrade » puis « Group », en Deep Navy. Les lettres du nom de marque ne sont </w:t>
      </w:r>
      <w:r>
        <w:rPr>
          <w:rFonts w:ascii="Montserrat" w:cs="Montserrat" w:eastAsia="Montserrat" w:hAnsi="Montserrat"/>
          <w:b/>
          <w:bCs/>
          <w:color w:val="1E1E1E"/>
          <w:sz w:val="19"/>
          <w:szCs w:val="19"/>
        </w:rPr>
        <w:t xml:space="preserve">pas</w:t>
      </w:r>
      <w:r>
        <w:rPr>
          <w:rFonts w:ascii="Montserrat" w:cs="Montserrat" w:eastAsia="Montserrat" w:hAnsi="Montserrat"/>
          <w:color w:val="1E1E1E"/>
          <w:sz w:val="19"/>
          <w:szCs w:val="19"/>
        </w:rPr>
        <w:t xml:space="preserve"> composées en Montserrat : elles sont conservées sous forme de contours tracés à partir du logo fourni.</w:t>
      </w:r>
    </w:p>
    <w:p>
      <w:pPr>
        <w:pStyle w:val="Heading2"/>
      </w:pPr>
      <w:r>
        <w:rPr>
          <w:rFonts w:ascii="Montserrat" w:cs="Montserrat" w:eastAsia="Montserrat" w:hAnsi="Montserrat"/>
          <w:b/>
          <w:bCs/>
          <w:color w:val="0A1D3D"/>
          <w:sz w:val="24"/>
          <w:szCs w:val="24"/>
        </w:rPr>
        <w:t xml:space="preserve">A.3  Slogan</w:t>
      </w:r>
    </w:p>
    <w:p>
      <w:pPr>
        <w:spacing w:after="120" w:before="120"/>
        <w:jc w:val="center"/>
      </w:pPr>
      <w:r>
        <w:rPr>
          <w:rFonts w:ascii="Montserrat" w:cs="Montserrat" w:eastAsia="Montserrat" w:hAnsi="Montserrat"/>
          <w:b/>
          <w:bCs/>
          <w:color w:val="0A1D3D"/>
          <w:spacing w:val="40"/>
          <w:sz w:val="22"/>
          <w:szCs w:val="22"/>
        </w:rPr>
        <w:t xml:space="preserve">CONNECTING TECHNOLOGY. DRIVING TRADE. BUILDING </w:t>
      </w:r>
      <w:r>
        <w:rPr>
          <w:rFonts w:ascii="Montserrat" w:cs="Montserrat" w:eastAsia="Montserrat" w:hAnsi="Montserrat"/>
          <w:b/>
          <w:bCs/>
          <w:color w:val="00A676"/>
          <w:spacing w:val="40"/>
          <w:sz w:val="22"/>
          <w:szCs w:val="22"/>
        </w:rPr>
        <w:t xml:space="preserve">AFRICA'S FUTURE.</w:t>
      </w:r>
    </w:p>
    <w:p>
      <w:pPr>
        <w:pStyle w:val="TTGCorps"/>
      </w:pPr>
      <w:r>
        <w:rPr>
          <w:rFonts w:ascii="Montserrat" w:cs="Montserrat" w:eastAsia="Montserrat" w:hAnsi="Montserrat"/>
          <w:color w:val="1E1E1E"/>
          <w:sz w:val="19"/>
          <w:szCs w:val="19"/>
        </w:rPr>
        <w:t xml:space="preserve">Le slogan est reproduit </w:t>
      </w:r>
      <w:r>
        <w:rPr>
          <w:rFonts w:ascii="Montserrat" w:cs="Montserrat" w:eastAsia="Montserrat" w:hAnsi="Montserrat"/>
          <w:b/>
          <w:bCs/>
          <w:color w:val="1E1E1E"/>
          <w:sz w:val="19"/>
          <w:szCs w:val="19"/>
        </w:rPr>
        <w:t xml:space="preserve">exactement</w:t>
      </w:r>
      <w:r>
        <w:rPr>
          <w:rFonts w:ascii="Montserrat" w:cs="Montserrat" w:eastAsia="Montserrat" w:hAnsi="Montserrat"/>
          <w:color w:val="1E1E1E"/>
          <w:sz w:val="19"/>
          <w:szCs w:val="19"/>
        </w:rPr>
        <w:t xml:space="preserve"> comme sur la planche : « CONNECTING TECHNOLOGY. DRIVING TRADE. BUILDING AFRICA'S FUTURE. » (en capitales, anglais, apostrophe droite, ponctuation finale conservée).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6425"/>
        <w:gridCol w:w="1500"/>
      </w:tblGrid>
      <w:tr>
        <w:trPr>
          <w:cantSplit/>
          <w:tblHeader/>
        </w:trPr>
        <w:tc>
          <w:tcPr>
            <w:tcW w:type="dxa" w:w="1713"/>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Règle</w:t>
            </w:r>
          </w:p>
        </w:tc>
        <w:tc>
          <w:tcPr>
            <w:tcW w:type="dxa" w:w="6425"/>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Valeur</w:t>
            </w:r>
          </w:p>
        </w:tc>
        <w:tc>
          <w:tcPr>
            <w:tcW w:type="dxa" w:w="1500"/>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Statut</w:t>
            </w:r>
          </w:p>
        </w:tc>
      </w:tr>
      <w:tr>
        <w:trPr>
          <w:cantSplit/>
        </w:trPr>
        <w:tc>
          <w:tcPr>
            <w:tcW w:type="dxa" w:w="1713"/>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Position</w:t>
            </w:r>
          </w:p>
        </w:tc>
        <w:tc>
          <w:tcPr>
            <w:tcW w:type="dxa" w:w="6425"/>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Centré sous le logo principal</w:t>
            </w:r>
          </w:p>
        </w:tc>
        <w:tc>
          <w:tcPr>
            <w:tcW w:type="dxa" w:w="1500"/>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0A676"/>
                <w:sz w:val="16"/>
                <w:szCs w:val="16"/>
              </w:rPr>
              <w:t xml:space="preserve">Documenté</w:t>
            </w:r>
          </w:p>
        </w:tc>
      </w:tr>
      <w:tr>
        <w:trPr>
          <w:cantSplit/>
        </w:trPr>
        <w:tc>
          <w:tcPr>
            <w:tcW w:type="dxa" w:w="1713"/>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Couleur</w:t>
            </w:r>
          </w:p>
        </w:tc>
        <w:tc>
          <w:tcPr>
            <w:tcW w:type="dxa" w:w="6425"/>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Deep Navy sur fond clair ou blanc sur fond sombre ; « AFRICA'S FUTURE. » en Emerald Green</w:t>
            </w:r>
          </w:p>
        </w:tc>
        <w:tc>
          <w:tcPr>
            <w:tcW w:type="dxa" w:w="1500"/>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0A676"/>
                <w:sz w:val="16"/>
                <w:szCs w:val="16"/>
              </w:rPr>
              <w:t xml:space="preserve">Documenté</w:t>
            </w:r>
          </w:p>
        </w:tc>
      </w:tr>
      <w:tr>
        <w:trPr>
          <w:cantSplit/>
        </w:trPr>
        <w:tc>
          <w:tcPr>
            <w:tcW w:type="dxa" w:w="1713"/>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Largeur</w:t>
            </w:r>
          </w:p>
        </w:tc>
        <w:tc>
          <w:tcPr>
            <w:tcW w:type="dxa" w:w="6425"/>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 88 % de la largeur du logo</w:t>
            </w:r>
          </w:p>
        </w:tc>
        <w:tc>
          <w:tcPr>
            <w:tcW w:type="dxa" w:w="1500"/>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A1D3D"/>
                <w:sz w:val="16"/>
                <w:szCs w:val="16"/>
              </w:rPr>
              <w:t xml:space="preserve">Mesuré</w:t>
            </w:r>
          </w:p>
        </w:tc>
      </w:tr>
      <w:tr>
        <w:trPr>
          <w:cantSplit/>
        </w:trPr>
        <w:tc>
          <w:tcPr>
            <w:tcW w:type="dxa" w:w="1713"/>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Police</w:t>
            </w:r>
          </w:p>
        </w:tc>
        <w:tc>
          <w:tcPr>
            <w:tcW w:type="dxa" w:w="6425"/>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Montserrat Medium, capitales</w:t>
            </w:r>
          </w:p>
        </w:tc>
        <w:tc>
          <w:tcPr>
            <w:tcW w:type="dxa" w:w="1500"/>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1713"/>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Interlettrage</w:t>
            </w:r>
          </w:p>
        </w:tc>
        <w:tc>
          <w:tcPr>
            <w:tcW w:type="dxa" w:w="6425"/>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 0,18 em</w:t>
            </w:r>
          </w:p>
        </w:tc>
        <w:tc>
          <w:tcPr>
            <w:tcW w:type="dxa" w:w="1500"/>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A1D3D"/>
                <w:sz w:val="16"/>
                <w:szCs w:val="16"/>
              </w:rPr>
              <w:t xml:space="preserve">Mesuré</w:t>
            </w:r>
          </w:p>
        </w:tc>
      </w:tr>
      <w:tr>
        <w:trPr>
          <w:cantSplit/>
        </w:trPr>
        <w:tc>
          <w:tcPr>
            <w:tcW w:type="dxa" w:w="1713"/>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Usage</w:t>
            </w:r>
          </w:p>
        </w:tc>
        <w:tc>
          <w:tcPr>
            <w:tcW w:type="dxa" w:w="6425"/>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Sous le logo (versions « avec slogan ») ou seul en pied de page, de couverture ou de signature</w:t>
            </w:r>
          </w:p>
        </w:tc>
        <w:tc>
          <w:tcPr>
            <w:tcW w:type="dxa" w:w="1500"/>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bl>
    <w:p>
      <w:pPr>
        <w:pStyle w:val="Heading2"/>
      </w:pPr>
      <w:r>
        <w:rPr>
          <w:rFonts w:ascii="Montserrat" w:cs="Montserrat" w:eastAsia="Montserrat" w:hAnsi="Montserrat"/>
          <w:b/>
          <w:bCs/>
          <w:color w:val="0A1D3D"/>
          <w:sz w:val="24"/>
          <w:szCs w:val="24"/>
        </w:rPr>
        <w:t xml:space="preserve">A.4  Architecture de marque</w:t>
      </w:r>
    </w:p>
    <w:p>
      <w:pPr>
        <w:pStyle w:val="TTGCorps"/>
      </w:pPr>
      <w:r>
        <w:rPr>
          <w:rFonts w:ascii="Montserrat" w:cs="Montserrat" w:eastAsia="Montserrat" w:hAnsi="Montserrat"/>
          <w:color w:val="1E1E1E"/>
          <w:sz w:val="19"/>
          <w:szCs w:val="19"/>
        </w:rPr>
        <w:t xml:space="preserve">La planche présente neuf déclinaisons du logo, chacune avec un intitulé placé sous « Group ». Le kit reprend </w:t>
      </w:r>
      <w:r>
        <w:rPr>
          <w:rFonts w:ascii="Montserrat" w:cs="Montserrat" w:eastAsia="Montserrat" w:hAnsi="Montserrat"/>
          <w:b/>
          <w:bCs/>
          <w:color w:val="1E1E1E"/>
          <w:sz w:val="19"/>
          <w:szCs w:val="19"/>
        </w:rPr>
        <w:t xml:space="preserve">strictement ces neuf dénominations</w:t>
      </w:r>
      <w:r>
        <w:rPr>
          <w:rFonts w:ascii="Montserrat" w:cs="Montserrat" w:eastAsia="Montserrat" w:hAnsi="Montserrat"/>
          <w:color w:val="1E1E1E"/>
          <w:sz w:val="19"/>
          <w:szCs w:val="19"/>
        </w:rPr>
        <w:t xml:space="preserve">, sans en créer d’autres : Software, AI, Cloud, Cyber, Academy, Labs, Capital, Market, Foundation. Chaque lockup est le logo principal inchangé, accompagné de l’intitulé en Montserrat SemiBold, taille égale à 27 % de la hauteur du nom de marque. Les teintes des intitulés sont </w:t>
      </w:r>
      <w:r>
        <w:rPr>
          <w:rFonts w:ascii="Montserrat" w:cs="Montserrat" w:eastAsia="Montserrat" w:hAnsi="Montserrat"/>
          <w:b/>
          <w:bCs/>
          <w:color w:val="1E1E1E"/>
          <w:sz w:val="19"/>
          <w:szCs w:val="19"/>
        </w:rPr>
        <w:t xml:space="preserve">échantillonnées sur la planche</w:t>
      </w:r>
      <w:r>
        <w:rPr>
          <w:rFonts w:ascii="Montserrat" w:cs="Montserrat" w:eastAsia="Montserrat" w:hAnsi="Montserrat"/>
          <w:color w:val="1E1E1E"/>
          <w:sz w:val="19"/>
          <w:szCs w:val="19"/>
        </w:rPr>
        <w:t xml:space="preserve"> (lecture approximative, hors palette de cinq couleurs, sans valeur CMJN) : à valider avant tout usage hors de l’architecture de marque.</w:t>
      </w:r>
    </w:p>
    <w:p>
      <w:pPr>
        <w:keepNext/>
        <w:spacing w:after="60" w:before="120"/>
        <w:jc w:val="center"/>
      </w:pPr>
      <w:r>
        <w:drawing>
          <wp:inline distT="0" distB="0" distL="0" distR="0">
            <wp:extent cx="4324350" cy="2133600"/>
            <wp:effectExtent t="0" r="0" b="0" l="0"/>
            <wp:docPr id="1" name="../../05_Applications/Architecture_de_Marque/TTG_Architecture_de_marque_planche.png" descr="Architecture de marque : neuf intitulés relevés sur la planche (fichier source : 05_Applications/Architecture_de_Marque)." title="Architecture de marque : neuf intitulés relevés sur la planche (fichier source : 05_Applications/Architecture_de_M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24350" cy="2133600"/>
                    </a:xfrm>
                    <a:prstGeom prst="rect">
                      <a:avLst/>
                    </a:prstGeom>
                  </pic:spPr>
                </pic:pic>
              </a:graphicData>
            </a:graphic>
          </wp:inline>
        </w:drawing>
      </w:r>
    </w:p>
    <w:p>
      <w:pPr>
        <w:spacing w:after="200"/>
        <w:jc w:val="center"/>
      </w:pPr>
      <w:r>
        <w:rPr>
          <w:rFonts w:ascii="Montserrat" w:cs="Montserrat" w:eastAsia="Montserrat" w:hAnsi="Montserrat"/>
          <w:color w:val="626262"/>
          <w:sz w:val="15"/>
          <w:szCs w:val="15"/>
        </w:rPr>
        <w:t xml:space="preserve">Architecture de marque : neuf intitulés relevés sur la planche (fichier source : 05_Applications/Architecture_de_Marque).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68"/>
        <w:gridCol w:w="676"/>
        <w:gridCol w:w="1268"/>
        <w:gridCol w:w="1268"/>
        <w:gridCol w:w="676"/>
        <w:gridCol w:w="1268"/>
        <w:gridCol w:w="1268"/>
        <w:gridCol w:w="676"/>
        <w:gridCol w:w="1270"/>
      </w:tblGrid>
      <w:tr>
        <w:trPr>
          <w:cantSplit/>
          <w:tblHeader/>
        </w:trPr>
        <w:tc>
          <w:tcPr>
            <w:tcW w:type="dxa" w:w="1268"/>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Intitulé</w:t>
            </w:r>
          </w:p>
        </w:tc>
        <w:tc>
          <w:tcPr>
            <w:tcW w:type="dxa" w:w="676"/>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Ton</w:t>
            </w:r>
          </w:p>
        </w:tc>
        <w:tc>
          <w:tcPr>
            <w:tcW w:type="dxa" w:w="1268"/>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HEX (mesuré)</w:t>
            </w:r>
          </w:p>
        </w:tc>
        <w:tc>
          <w:tcPr>
            <w:tcW w:type="dxa" w:w="1268"/>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Intitulé</w:t>
            </w:r>
          </w:p>
        </w:tc>
        <w:tc>
          <w:tcPr>
            <w:tcW w:type="dxa" w:w="676"/>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Ton</w:t>
            </w:r>
          </w:p>
        </w:tc>
        <w:tc>
          <w:tcPr>
            <w:tcW w:type="dxa" w:w="1268"/>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HEX (mesuré)</w:t>
            </w:r>
          </w:p>
        </w:tc>
        <w:tc>
          <w:tcPr>
            <w:tcW w:type="dxa" w:w="1268"/>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Intitulé</w:t>
            </w:r>
          </w:p>
        </w:tc>
        <w:tc>
          <w:tcPr>
            <w:tcW w:type="dxa" w:w="676"/>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Ton</w:t>
            </w:r>
          </w:p>
        </w:tc>
        <w:tc>
          <w:tcPr>
            <w:tcW w:type="dxa" w:w="1270"/>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HEX (mesuré)</w:t>
            </w:r>
          </w:p>
        </w:tc>
      </w:tr>
      <w:tr>
        <w:trPr>
          <w:cantSplit/>
        </w:trPr>
        <w:tc>
          <w:tcPr>
            <w:tcW w:type="dxa" w:w="126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Software</w:t>
            </w:r>
          </w:p>
        </w:tc>
        <w:tc>
          <w:tcPr>
            <w:tcW w:type="dxa" w:w="676"/>
            <w:tcBorders>
              <w:top w:val="single" w:color="E2E1E2" w:sz="4"/>
              <w:left w:val="single" w:color="E2E1E2" w:sz="4"/>
              <w:bottom w:val="single" w:color="E2E1E2" w:sz="4"/>
              <w:right w:val="single" w:color="E2E1E2" w:sz="4"/>
            </w:tcBorders>
            <w:shd w:fill="3F6BB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 </w:t>
            </w:r>
          </w:p>
        </w:tc>
        <w:tc>
          <w:tcPr>
            <w:tcW w:type="dxa" w:w="126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#3F6BBD</w:t>
            </w:r>
          </w:p>
        </w:tc>
        <w:tc>
          <w:tcPr>
            <w:tcW w:type="dxa" w:w="126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Cyber</w:t>
            </w:r>
          </w:p>
        </w:tc>
        <w:tc>
          <w:tcPr>
            <w:tcW w:type="dxa" w:w="676"/>
            <w:tcBorders>
              <w:top w:val="single" w:color="E2E1E2" w:sz="4"/>
              <w:left w:val="single" w:color="E2E1E2" w:sz="4"/>
              <w:bottom w:val="single" w:color="E2E1E2" w:sz="4"/>
              <w:right w:val="single" w:color="E2E1E2" w:sz="4"/>
            </w:tcBorders>
            <w:shd w:fill="8D56DF"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 </w:t>
            </w:r>
          </w:p>
        </w:tc>
        <w:tc>
          <w:tcPr>
            <w:tcW w:type="dxa" w:w="126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#8D56DF</w:t>
            </w:r>
          </w:p>
        </w:tc>
        <w:tc>
          <w:tcPr>
            <w:tcW w:type="dxa" w:w="126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Capital</w:t>
            </w:r>
          </w:p>
        </w:tc>
        <w:tc>
          <w:tcPr>
            <w:tcW w:type="dxa" w:w="676"/>
            <w:tcBorders>
              <w:top w:val="single" w:color="E2E1E2" w:sz="4"/>
              <w:left w:val="single" w:color="E2E1E2" w:sz="4"/>
              <w:bottom w:val="single" w:color="E2E1E2" w:sz="4"/>
              <w:right w:val="single" w:color="E2E1E2" w:sz="4"/>
            </w:tcBorders>
            <w:shd w:fill="6EB13B"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 </w:t>
            </w:r>
          </w:p>
        </w:tc>
        <w:tc>
          <w:tcPr>
            <w:tcW w:type="dxa" w:w="1270"/>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#6EB13B</w:t>
            </w:r>
          </w:p>
        </w:tc>
      </w:tr>
      <w:tr>
        <w:trPr>
          <w:cantSplit/>
        </w:trPr>
        <w:tc>
          <w:tcPr>
            <w:tcW w:type="dxa" w:w="126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AI</w:t>
            </w:r>
          </w:p>
        </w:tc>
        <w:tc>
          <w:tcPr>
            <w:tcW w:type="dxa" w:w="676"/>
            <w:tcBorders>
              <w:top w:val="single" w:color="E2E1E2" w:sz="4"/>
              <w:left w:val="single" w:color="E2E1E2" w:sz="4"/>
              <w:bottom w:val="single" w:color="E2E1E2" w:sz="4"/>
              <w:right w:val="single" w:color="E2E1E2" w:sz="4"/>
            </w:tcBorders>
            <w:shd w:fill="38A88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 </w:t>
            </w:r>
          </w:p>
        </w:tc>
        <w:tc>
          <w:tcPr>
            <w:tcW w:type="dxa" w:w="126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#38A88D</w:t>
            </w:r>
          </w:p>
        </w:tc>
        <w:tc>
          <w:tcPr>
            <w:tcW w:type="dxa" w:w="126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Academy</w:t>
            </w:r>
          </w:p>
        </w:tc>
        <w:tc>
          <w:tcPr>
            <w:tcW w:type="dxa" w:w="676"/>
            <w:tcBorders>
              <w:top w:val="single" w:color="E2E1E2" w:sz="4"/>
              <w:left w:val="single" w:color="E2E1E2" w:sz="4"/>
              <w:bottom w:val="single" w:color="E2E1E2" w:sz="4"/>
              <w:right w:val="single" w:color="E2E1E2" w:sz="4"/>
            </w:tcBorders>
            <w:shd w:fill="F9641F"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 </w:t>
            </w:r>
          </w:p>
        </w:tc>
        <w:tc>
          <w:tcPr>
            <w:tcW w:type="dxa" w:w="126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#F9641F</w:t>
            </w:r>
          </w:p>
        </w:tc>
        <w:tc>
          <w:tcPr>
            <w:tcW w:type="dxa" w:w="126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Market</w:t>
            </w:r>
          </w:p>
        </w:tc>
        <w:tc>
          <w:tcPr>
            <w:tcW w:type="dxa" w:w="676"/>
            <w:tcBorders>
              <w:top w:val="single" w:color="E2E1E2" w:sz="4"/>
              <w:left w:val="single" w:color="E2E1E2" w:sz="4"/>
              <w:bottom w:val="single" w:color="E2E1E2" w:sz="4"/>
              <w:right w:val="single" w:color="E2E1E2" w:sz="4"/>
            </w:tcBorders>
            <w:shd w:fill="EEA934"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 </w:t>
            </w:r>
          </w:p>
        </w:tc>
        <w:tc>
          <w:tcPr>
            <w:tcW w:type="dxa" w:w="1270"/>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#EEA934</w:t>
            </w:r>
          </w:p>
        </w:tc>
      </w:tr>
      <w:tr>
        <w:trPr>
          <w:cantSplit/>
        </w:trPr>
        <w:tc>
          <w:tcPr>
            <w:tcW w:type="dxa" w:w="126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Cloud</w:t>
            </w:r>
          </w:p>
        </w:tc>
        <w:tc>
          <w:tcPr>
            <w:tcW w:type="dxa" w:w="676"/>
            <w:tcBorders>
              <w:top w:val="single" w:color="E2E1E2" w:sz="4"/>
              <w:left w:val="single" w:color="E2E1E2" w:sz="4"/>
              <w:bottom w:val="single" w:color="E2E1E2" w:sz="4"/>
              <w:right w:val="single" w:color="E2E1E2" w:sz="4"/>
            </w:tcBorders>
            <w:shd w:fill="509BD9"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 </w:t>
            </w:r>
          </w:p>
        </w:tc>
        <w:tc>
          <w:tcPr>
            <w:tcW w:type="dxa" w:w="126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#509BD9</w:t>
            </w:r>
          </w:p>
        </w:tc>
        <w:tc>
          <w:tcPr>
            <w:tcW w:type="dxa" w:w="126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Labs</w:t>
            </w:r>
          </w:p>
        </w:tc>
        <w:tc>
          <w:tcPr>
            <w:tcW w:type="dxa" w:w="676"/>
            <w:tcBorders>
              <w:top w:val="single" w:color="E2E1E2" w:sz="4"/>
              <w:left w:val="single" w:color="E2E1E2" w:sz="4"/>
              <w:bottom w:val="single" w:color="E2E1E2" w:sz="4"/>
              <w:right w:val="single" w:color="E2E1E2" w:sz="4"/>
            </w:tcBorders>
            <w:shd w:fill="46919E"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 </w:t>
            </w:r>
          </w:p>
        </w:tc>
        <w:tc>
          <w:tcPr>
            <w:tcW w:type="dxa" w:w="126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#46919E</w:t>
            </w:r>
          </w:p>
        </w:tc>
        <w:tc>
          <w:tcPr>
            <w:tcW w:type="dxa" w:w="126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Foundation</w:t>
            </w:r>
          </w:p>
        </w:tc>
        <w:tc>
          <w:tcPr>
            <w:tcW w:type="dxa" w:w="676"/>
            <w:tcBorders>
              <w:top w:val="single" w:color="E2E1E2" w:sz="4"/>
              <w:left w:val="single" w:color="E2E1E2" w:sz="4"/>
              <w:bottom w:val="single" w:color="E2E1E2" w:sz="4"/>
              <w:right w:val="single" w:color="E2E1E2" w:sz="4"/>
            </w:tcBorders>
            <w:shd w:fill="385BC6"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 </w:t>
            </w:r>
          </w:p>
        </w:tc>
        <w:tc>
          <w:tcPr>
            <w:tcW w:type="dxa" w:w="1270"/>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#385BC6</w:t>
            </w:r>
          </w:p>
        </w:tc>
      </w:tr>
    </w:tbl>
    <w:p>
      <w:pPr>
        <w:pStyle w:val="Heading1"/>
        <w:pageBreakBefore/>
      </w:pPr>
      <w:r>
        <w:rPr>
          <w:rFonts w:ascii="Montserrat" w:cs="Montserrat" w:eastAsia="Montserrat" w:hAnsi="Montserrat"/>
          <w:b/>
          <w:bCs/>
          <w:color w:val="0A1D3D"/>
          <w:sz w:val="34"/>
          <w:szCs w:val="34"/>
        </w:rPr>
        <w:t xml:space="preserve">B — Système de logo</w:t>
      </w:r>
    </w:p>
    <w:p>
      <w:pPr>
        <w:pStyle w:val="Heading2"/>
      </w:pPr>
      <w:r>
        <w:rPr>
          <w:rFonts w:ascii="Montserrat" w:cs="Montserrat" w:eastAsia="Montserrat" w:hAnsi="Montserrat"/>
          <w:b/>
          <w:bCs/>
          <w:color w:val="0A1D3D"/>
          <w:sz w:val="24"/>
          <w:szCs w:val="24"/>
        </w:rPr>
        <w:t xml:space="preserve">B.1  Déclinaisons</w:t>
      </w:r>
    </w:p>
    <w:p>
      <w:pPr>
        <w:pStyle w:val="TTGCorps"/>
      </w:pPr>
      <w:r>
        <w:rPr>
          <w:rFonts w:ascii="Montserrat" w:cs="Montserrat" w:eastAsia="Montserrat" w:hAnsi="Montserrat"/>
          <w:color w:val="1E1E1E"/>
          <w:sz w:val="19"/>
          <w:szCs w:val="19"/>
        </w:rPr>
        <w:t xml:space="preserve">La section « LOGO SYSTEM » de la planche présente sept déclinaisons : logo principal, symbole seul, horizontal, nom de marque, version noire, version blanche et monochrome. Toutes sont fournies dans le kit sous forme vectorielle (SVG, PDF, EPS) et en PNG transparent. </w:t>
      </w:r>
      <w:r>
        <w:rPr>
          <w:rFonts w:ascii="Montserrat" w:cs="Montserrat" w:eastAsia="Montserrat" w:hAnsi="Montserrat"/>
          <w:b/>
          <w:bCs/>
          <w:color w:val="1E1E1E"/>
          <w:sz w:val="19"/>
          <w:szCs w:val="19"/>
        </w:rPr>
        <w:t xml:space="preserve">Aucune version verticale</w:t>
      </w:r>
      <w:r>
        <w:rPr>
          <w:rFonts w:ascii="Montserrat" w:cs="Montserrat" w:eastAsia="Montserrat" w:hAnsi="Montserrat"/>
          <w:color w:val="1E1E1E"/>
          <w:sz w:val="19"/>
          <w:szCs w:val="19"/>
        </w:rPr>
        <w:t xml:space="preserve"> n’existe dans la référence : elle n’est donc pas proposée.</w:t>
      </w:r>
    </w:p>
    <w:p>
      <w:pPr>
        <w:keepNext/>
        <w:spacing w:after="60" w:before="120"/>
        <w:jc w:val="center"/>
      </w:pPr>
      <w:r>
        <w:drawing>
          <wp:inline distT="0" distB="0" distL="0" distR="0">
            <wp:extent cx="6124575" cy="4514850"/>
            <wp:effectExtent t="0" r="0" b="0" l="0"/>
            <wp:docPr id="1" name="01_systeme_de_logo.png" descr="Système de logo : déclinaisons produites à partir du logo fourni (dossier 02_Logo_Illustrator)." title="Système de logo : déclinaisons produites à partir du logo fourni (dossier 02_Logo_Illu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4514850"/>
                    </a:xfrm>
                    <a:prstGeom prst="rect">
                      <a:avLst/>
                    </a:prstGeom>
                  </pic:spPr>
                </pic:pic>
              </a:graphicData>
            </a:graphic>
          </wp:inline>
        </w:drawing>
      </w:r>
    </w:p>
    <w:p>
      <w:pPr>
        <w:spacing w:after="200"/>
        <w:jc w:val="center"/>
      </w:pPr>
      <w:r>
        <w:rPr>
          <w:rFonts w:ascii="Montserrat" w:cs="Montserrat" w:eastAsia="Montserrat" w:hAnsi="Montserrat"/>
          <w:color w:val="626262"/>
          <w:sz w:val="15"/>
          <w:szCs w:val="15"/>
        </w:rPr>
        <w:t xml:space="preserve">Système de logo : déclinaisons produites à partir du logo fourni (dossier 02_Logo_Illustrator).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819"/>
        <w:gridCol w:w="2891"/>
      </w:tblGrid>
      <w:tr>
        <w:trPr>
          <w:cantSplit/>
          <w:tblHeader/>
        </w:trPr>
        <w:tc>
          <w:tcPr>
            <w:tcW w:type="dxa" w:w="1928"/>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Déclinaison</w:t>
            </w:r>
          </w:p>
        </w:tc>
        <w:tc>
          <w:tcPr>
            <w:tcW w:type="dxa" w:w="4819"/>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Quand l’utiliser</w:t>
            </w:r>
          </w:p>
        </w:tc>
        <w:tc>
          <w:tcPr>
            <w:tcW w:type="dxa" w:w="2891"/>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Fichier (préfixe)</w:t>
            </w:r>
          </w:p>
        </w:tc>
      </w:tr>
      <w:tr>
        <w:trPr>
          <w:cantSplit/>
        </w:trPr>
        <w:tc>
          <w:tcPr>
            <w:tcW w:type="dxa" w:w="192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Logo principal</w:t>
            </w:r>
          </w:p>
        </w:tc>
        <w:tc>
          <w:tcPr>
            <w:tcW w:type="dxa" w:w="4819"/>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Usage par défaut : documents, sites, cartes, signatures</w:t>
            </w:r>
          </w:p>
        </w:tc>
        <w:tc>
          <w:tcPr>
            <w:tcW w:type="dxa" w:w="2891"/>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Logo_principal_couleur</w:t>
            </w:r>
          </w:p>
        </w:tc>
      </w:tr>
      <w:tr>
        <w:trPr>
          <w:cantSplit/>
        </w:trPr>
        <w:tc>
          <w:tcPr>
            <w:tcW w:type="dxa" w:w="192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Symbole seul</w:t>
            </w:r>
          </w:p>
        </w:tc>
        <w:tc>
          <w:tcPr>
            <w:tcW w:type="dxa" w:w="4819"/>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Espaces réduits, icônes, avatars, favicon, motif décoratif</w:t>
            </w:r>
          </w:p>
        </w:tc>
        <w:tc>
          <w:tcPr>
            <w:tcW w:type="dxa" w:w="2891"/>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Symbole_couleur</w:t>
            </w:r>
          </w:p>
        </w:tc>
      </w:tr>
      <w:tr>
        <w:trPr>
          <w:cantSplit/>
        </w:trPr>
        <w:tc>
          <w:tcPr>
            <w:tcW w:type="dxa" w:w="192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Horizontal (une ligne)</w:t>
            </w:r>
          </w:p>
        </w:tc>
        <w:tc>
          <w:tcPr>
            <w:tcW w:type="dxa" w:w="4819"/>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Bandeaux larges et peu hauts ; reconstitué à partir des mêmes contours (espacement entre les deux mots mesuré, approximatif)</w:t>
            </w:r>
          </w:p>
        </w:tc>
        <w:tc>
          <w:tcPr>
            <w:tcW w:type="dxa" w:w="2891"/>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Logo_horizontal_couleur</w:t>
            </w:r>
          </w:p>
        </w:tc>
      </w:tr>
      <w:tr>
        <w:trPr>
          <w:cantSplit/>
        </w:trPr>
        <w:tc>
          <w:tcPr>
            <w:tcW w:type="dxa" w:w="192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Nom de marque</w:t>
            </w:r>
          </w:p>
        </w:tc>
        <w:tc>
          <w:tcPr>
            <w:tcW w:type="dxa" w:w="4819"/>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Quand le symbole est déjà présent à proximité</w:t>
            </w:r>
          </w:p>
        </w:tc>
        <w:tc>
          <w:tcPr>
            <w:tcW w:type="dxa" w:w="2891"/>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Nom_de_marque_couleur</w:t>
            </w:r>
          </w:p>
        </w:tc>
      </w:tr>
      <w:tr>
        <w:trPr>
          <w:cantSplit/>
        </w:trPr>
        <w:tc>
          <w:tcPr>
            <w:tcW w:type="dxa" w:w="192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Version noire</w:t>
            </w:r>
          </w:p>
        </w:tc>
        <w:tc>
          <w:tcPr>
            <w:tcW w:type="dxa" w:w="4819"/>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Impression une couleur, tampons, fax, gravure</w:t>
            </w:r>
          </w:p>
        </w:tc>
        <w:tc>
          <w:tcPr>
            <w:tcW w:type="dxa" w:w="2891"/>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Logo_principal_noir</w:t>
            </w:r>
          </w:p>
        </w:tc>
      </w:tr>
      <w:tr>
        <w:trPr>
          <w:cantSplit/>
        </w:trPr>
        <w:tc>
          <w:tcPr>
            <w:tcW w:type="dxa" w:w="192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Version blanche</w:t>
            </w:r>
          </w:p>
        </w:tc>
        <w:tc>
          <w:tcPr>
            <w:tcW w:type="dxa" w:w="4819"/>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Fonds Deep Navy ou fonds sombres uniformes</w:t>
            </w:r>
          </w:p>
        </w:tc>
        <w:tc>
          <w:tcPr>
            <w:tcW w:type="dxa" w:w="2891"/>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Logo_principal_blanc</w:t>
            </w:r>
          </w:p>
        </w:tc>
      </w:tr>
      <w:tr>
        <w:trPr>
          <w:cantSplit/>
        </w:trPr>
        <w:tc>
          <w:tcPr>
            <w:tcW w:type="dxa" w:w="192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Monochrome (gris)</w:t>
            </w:r>
          </w:p>
        </w:tc>
        <w:tc>
          <w:tcPr>
            <w:tcW w:type="dxa" w:w="4819"/>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Documents en niveaux de gris, filigranes discrets</w:t>
            </w:r>
          </w:p>
        </w:tc>
        <w:tc>
          <w:tcPr>
            <w:tcW w:type="dxa" w:w="2891"/>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Logo_principal_monochrome</w:t>
            </w:r>
          </w:p>
        </w:tc>
      </w:tr>
      <w:tr>
        <w:trPr>
          <w:cantSplit/>
        </w:trPr>
        <w:tc>
          <w:tcPr>
            <w:tcW w:type="dxa" w:w="192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Avec slogan</w:t>
            </w:r>
          </w:p>
        </w:tc>
        <w:tc>
          <w:tcPr>
            <w:tcW w:type="dxa" w:w="4819"/>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Couvertures, pages institutionnelles, supports signature</w:t>
            </w:r>
          </w:p>
        </w:tc>
        <w:tc>
          <w:tcPr>
            <w:tcW w:type="dxa" w:w="2891"/>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Logo_principal_avec_slogan_couleur / _blanc</w:t>
            </w:r>
          </w:p>
        </w:tc>
      </w:tr>
    </w:tbl>
    <w:p>
      <w:pPr>
        <w:pStyle w:val="Heading2"/>
      </w:pPr>
      <w:r>
        <w:rPr>
          <w:rFonts w:ascii="Montserrat" w:cs="Montserrat" w:eastAsia="Montserrat" w:hAnsi="Montserrat"/>
          <w:b/>
          <w:bCs/>
          <w:color w:val="0A1D3D"/>
          <w:sz w:val="24"/>
          <w:szCs w:val="24"/>
        </w:rPr>
        <w:t xml:space="preserve">B.2  Proportions à respecter</w:t>
      </w:r>
    </w:p>
    <w:p>
      <w:pPr>
        <w:keepNext/>
        <w:spacing w:after="60" w:before="120"/>
        <w:jc w:val="center"/>
      </w:pPr>
      <w:r>
        <w:drawing>
          <wp:inline distT="0" distB="0" distL="0" distR="0">
            <wp:extent cx="6124575" cy="3143250"/>
            <wp:effectExtent t="0" r="0" b="0" l="0"/>
            <wp:docPr id="1" name="04_proportions.png" descr="Proportions du logo principal, exprimées en fonction du diamètre D du symbole." title="Proportions du logo principal, exprimées en fonction du diamètre D du symb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3143250"/>
                    </a:xfrm>
                    <a:prstGeom prst="rect">
                      <a:avLst/>
                    </a:prstGeom>
                  </pic:spPr>
                </pic:pic>
              </a:graphicData>
            </a:graphic>
          </wp:inline>
        </w:drawing>
      </w:r>
    </w:p>
    <w:p>
      <w:pPr>
        <w:spacing w:after="200"/>
        <w:jc w:val="center"/>
      </w:pPr>
      <w:r>
        <w:rPr>
          <w:rFonts w:ascii="Montserrat" w:cs="Montserrat" w:eastAsia="Montserrat" w:hAnsi="Montserrat"/>
          <w:color w:val="626262"/>
          <w:sz w:val="15"/>
          <w:szCs w:val="15"/>
        </w:rPr>
        <w:t xml:space="preserve">Proportions du logo principal, exprimées en fonction du diamètre D du symbole.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4"/>
        <w:gridCol w:w="3707"/>
        <w:gridCol w:w="1297"/>
      </w:tblGrid>
      <w:tr>
        <w:trPr>
          <w:cantSplit/>
          <w:tblHeader/>
        </w:trPr>
        <w:tc>
          <w:tcPr>
            <w:tcW w:type="dxa" w:w="4634"/>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Mesure</w:t>
            </w:r>
          </w:p>
        </w:tc>
        <w:tc>
          <w:tcPr>
            <w:tcW w:type="dxa" w:w="3707"/>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Valeur</w:t>
            </w:r>
          </w:p>
        </w:tc>
        <w:tc>
          <w:tcPr>
            <w:tcW w:type="dxa" w:w="1297"/>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Statut</w:t>
            </w:r>
          </w:p>
        </w:tc>
      </w:tr>
      <w:tr>
        <w:trPr>
          <w:cantSplit/>
        </w:trPr>
        <w:tc>
          <w:tcPr>
            <w:tcW w:type="dxa" w:w="463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Largeur totale / hauteur du logo principal</w:t>
            </w:r>
          </w:p>
        </w:tc>
        <w:tc>
          <w:tcPr>
            <w:tcW w:type="dxa" w:w="370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3,81 : 1 (333,1 × 87,4 unités du dessin)</w:t>
            </w:r>
          </w:p>
        </w:tc>
        <w:tc>
          <w:tcPr>
            <w:tcW w:type="dxa" w:w="129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A1D3D"/>
                <w:sz w:val="16"/>
                <w:szCs w:val="16"/>
              </w:rPr>
              <w:t xml:space="preserve">Mesuré</w:t>
            </w:r>
          </w:p>
        </w:tc>
      </w:tr>
      <w:tr>
        <w:trPr>
          <w:cantSplit/>
        </w:trPr>
        <w:tc>
          <w:tcPr>
            <w:tcW w:type="dxa" w:w="463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Largeur totale</w:t>
            </w:r>
          </w:p>
        </w:tc>
        <w:tc>
          <w:tcPr>
            <w:tcW w:type="dxa" w:w="370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3,82 D</w:t>
            </w:r>
          </w:p>
        </w:tc>
        <w:tc>
          <w:tcPr>
            <w:tcW w:type="dxa" w:w="129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A1D3D"/>
                <w:sz w:val="16"/>
                <w:szCs w:val="16"/>
              </w:rPr>
              <w:t xml:space="preserve">Mesuré</w:t>
            </w:r>
          </w:p>
        </w:tc>
      </w:tr>
      <w:tr>
        <w:trPr>
          <w:cantSplit/>
        </w:trPr>
        <w:tc>
          <w:tcPr>
            <w:tcW w:type="dxa" w:w="463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Symbole → filet</w:t>
            </w:r>
          </w:p>
        </w:tc>
        <w:tc>
          <w:tcPr>
            <w:tcW w:type="dxa" w:w="370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0,15 D</w:t>
            </w:r>
          </w:p>
        </w:tc>
        <w:tc>
          <w:tcPr>
            <w:tcW w:type="dxa" w:w="129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A1D3D"/>
                <w:sz w:val="16"/>
                <w:szCs w:val="16"/>
              </w:rPr>
              <w:t xml:space="preserve">Mesuré</w:t>
            </w:r>
          </w:p>
        </w:tc>
      </w:tr>
      <w:tr>
        <w:trPr>
          <w:cantSplit/>
        </w:trPr>
        <w:tc>
          <w:tcPr>
            <w:tcW w:type="dxa" w:w="463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Filet → nom de marque</w:t>
            </w:r>
          </w:p>
        </w:tc>
        <w:tc>
          <w:tcPr>
            <w:tcW w:type="dxa" w:w="370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0,16 D</w:t>
            </w:r>
          </w:p>
        </w:tc>
        <w:tc>
          <w:tcPr>
            <w:tcW w:type="dxa" w:w="129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A1D3D"/>
                <w:sz w:val="16"/>
                <w:szCs w:val="16"/>
              </w:rPr>
              <w:t xml:space="preserve">Mesuré</w:t>
            </w:r>
          </w:p>
        </w:tc>
      </w:tr>
      <w:tr>
        <w:trPr>
          <w:cantSplit/>
        </w:trPr>
        <w:tc>
          <w:tcPr>
            <w:tcW w:type="dxa" w:w="463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Largeur du nom de marque (« TechnologyTrade »)</w:t>
            </w:r>
          </w:p>
        </w:tc>
        <w:tc>
          <w:tcPr>
            <w:tcW w:type="dxa" w:w="370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2,50 D</w:t>
            </w:r>
          </w:p>
        </w:tc>
        <w:tc>
          <w:tcPr>
            <w:tcW w:type="dxa" w:w="129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A1D3D"/>
                <w:sz w:val="16"/>
                <w:szCs w:val="16"/>
              </w:rPr>
              <w:t xml:space="preserve">Mesuré</w:t>
            </w:r>
          </w:p>
        </w:tc>
      </w:tr>
      <w:tr>
        <w:trPr>
          <w:cantSplit/>
        </w:trPr>
        <w:tc>
          <w:tcPr>
            <w:tcW w:type="dxa" w:w="463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Hauteur du filet / épaisseur</w:t>
            </w:r>
          </w:p>
        </w:tc>
        <w:tc>
          <w:tcPr>
            <w:tcW w:type="dxa" w:w="370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0,88 D / 2 unités</w:t>
            </w:r>
          </w:p>
        </w:tc>
        <w:tc>
          <w:tcPr>
            <w:tcW w:type="dxa" w:w="129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A1D3D"/>
                <w:sz w:val="16"/>
                <w:szCs w:val="16"/>
              </w:rPr>
              <w:t xml:space="preserve">Mesuré</w:t>
            </w:r>
          </w:p>
        </w:tc>
      </w:tr>
      <w:tr>
        <w:trPr>
          <w:cantSplit/>
        </w:trPr>
        <w:tc>
          <w:tcPr>
            <w:tcW w:type="dxa" w:w="463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Hauteur de capitale du nom de marque</w:t>
            </w:r>
          </w:p>
        </w:tc>
        <w:tc>
          <w:tcPr>
            <w:tcW w:type="dxa" w:w="370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0,27 D</w:t>
            </w:r>
          </w:p>
        </w:tc>
        <w:tc>
          <w:tcPr>
            <w:tcW w:type="dxa" w:w="129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A1D3D"/>
                <w:sz w:val="16"/>
                <w:szCs w:val="16"/>
              </w:rPr>
              <w:t xml:space="preserve">Mesuré</w:t>
            </w:r>
          </w:p>
        </w:tc>
      </w:tr>
    </w:tbl>
    <w:p>
      <w:pPr>
        <w:pStyle w:val="TTGNote"/>
      </w:pPr>
      <w:r>
        <w:rPr>
          <w:rFonts w:ascii="Montserrat" w:cs="Montserrat" w:eastAsia="Montserrat" w:hAnsi="Montserrat"/>
          <w:color w:val="626262"/>
          <w:sz w:val="15"/>
          <w:szCs w:val="15"/>
        </w:rPr>
        <w:t xml:space="preserve">Redimensionner uniquement de manière </w:t>
      </w:r>
      <w:r>
        <w:rPr>
          <w:rFonts w:ascii="Montserrat" w:cs="Montserrat" w:eastAsia="Montserrat" w:hAnsi="Montserrat"/>
          <w:b/>
          <w:bCs/>
          <w:color w:val="626262"/>
          <w:sz w:val="15"/>
          <w:szCs w:val="15"/>
        </w:rPr>
        <w:t xml:space="preserve">homothétique</w:t>
      </w:r>
      <w:r>
        <w:rPr>
          <w:rFonts w:ascii="Montserrat" w:cs="Montserrat" w:eastAsia="Montserrat" w:hAnsi="Montserrat"/>
          <w:color w:val="626262"/>
          <w:sz w:val="15"/>
          <w:szCs w:val="15"/>
        </w:rPr>
        <w:t xml:space="preserve"> (largeur et hauteur ensemble). Ne jamais étirer, compresser, incliner ou pivoter.</w:t>
      </w:r>
    </w:p>
    <w:p>
      <w:pPr>
        <w:pStyle w:val="Heading2"/>
      </w:pPr>
      <w:r>
        <w:rPr>
          <w:rFonts w:ascii="Montserrat" w:cs="Montserrat" w:eastAsia="Montserrat" w:hAnsi="Montserrat"/>
          <w:b/>
          <w:bCs/>
          <w:color w:val="0A1D3D"/>
          <w:sz w:val="24"/>
          <w:szCs w:val="24"/>
        </w:rPr>
        <w:t xml:space="preserve">B.3  Zone de protection</w:t>
      </w:r>
    </w:p>
    <w:p>
      <w:pPr>
        <w:keepNext/>
        <w:spacing w:after="60" w:before="120"/>
        <w:jc w:val="center"/>
      </w:pPr>
      <w:r>
        <w:drawing>
          <wp:inline distT="0" distB="0" distL="0" distR="0">
            <wp:extent cx="6124575" cy="2905125"/>
            <wp:effectExtent t="0" r="0" b="0" l="0"/>
            <wp:docPr id="1" name="02_zone_de_protection.png" descr="Zone de protection : X = 3/8 du diamètre du symbole." title="Zone de protection : X = 3/8 du diamètre du symb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2905125"/>
                    </a:xfrm>
                    <a:prstGeom prst="rect">
                      <a:avLst/>
                    </a:prstGeom>
                  </pic:spPr>
                </pic:pic>
              </a:graphicData>
            </a:graphic>
          </wp:inline>
        </w:drawing>
      </w:r>
    </w:p>
    <w:p>
      <w:pPr>
        <w:spacing w:after="200"/>
        <w:jc w:val="center"/>
      </w:pPr>
      <w:r>
        <w:rPr>
          <w:rFonts w:ascii="Montserrat" w:cs="Montserrat" w:eastAsia="Montserrat" w:hAnsi="Montserrat"/>
          <w:color w:val="626262"/>
          <w:sz w:val="15"/>
          <w:szCs w:val="15"/>
        </w:rPr>
        <w:t xml:space="preserve">Zone de protection : X = 3/8 du diamètre du symbole.</w:t>
      </w:r>
    </w:p>
    <w:p>
      <w:pPr>
        <w:pStyle w:val="TTGCorps"/>
      </w:pPr>
      <w:r>
        <w:rPr>
          <w:rFonts w:ascii="Montserrat" w:cs="Montserrat" w:eastAsia="Montserrat" w:hAnsi="Montserrat"/>
          <w:color w:val="1E1E1E"/>
          <w:sz w:val="19"/>
          <w:szCs w:val="19"/>
        </w:rPr>
        <w:t xml:space="preserve">La planche représente la zone de protection par un cadre autour du symbole avec une unité </w:t>
      </w:r>
      <w:r>
        <w:rPr>
          <w:rFonts w:ascii="Montserrat" w:cs="Montserrat" w:eastAsia="Montserrat" w:hAnsi="Montserrat"/>
          <w:b/>
          <w:bCs/>
          <w:color w:val="1E1E1E"/>
          <w:sz w:val="19"/>
          <w:szCs w:val="19"/>
        </w:rPr>
        <w:t xml:space="preserve">X</w:t>
      </w:r>
      <w:r>
        <w:rPr>
          <w:rFonts w:ascii="Montserrat" w:cs="Montserrat" w:eastAsia="Montserrat" w:hAnsi="Montserrat"/>
          <w:color w:val="1E1E1E"/>
          <w:sz w:val="19"/>
          <w:szCs w:val="19"/>
        </w:rPr>
        <w:t xml:space="preserve"> à chacun des angles. Mesurée sur ce schéma, </w:t>
      </w:r>
      <w:r>
        <w:rPr>
          <w:rFonts w:ascii="Montserrat" w:cs="Montserrat" w:eastAsia="Montserrat" w:hAnsi="Montserrat"/>
          <w:b/>
          <w:bCs/>
          <w:color w:val="1E1E1E"/>
          <w:sz w:val="19"/>
          <w:szCs w:val="19"/>
        </w:rPr>
        <w:t xml:space="preserve">X ≈ 3/8 du diamètre du symbole</w:t>
      </w:r>
      <w:r>
        <w:rPr>
          <w:rFonts w:ascii="Montserrat" w:cs="Montserrat" w:eastAsia="Montserrat" w:hAnsi="Montserrat"/>
          <w:color w:val="1E1E1E"/>
          <w:sz w:val="19"/>
          <w:szCs w:val="19"/>
        </w:rPr>
        <w:t xml:space="preserve">, soit ≈ 9,8 % de la largeur du logo principal. Aucun texte, aucune image, aucun bord de page ne doit entrer dans cette zone. Les fichiers PNG, SVG, PDF et EPS du kit intègrent déjà cette marge.</w:t>
      </w:r>
    </w:p>
    <w:p>
      <w:pPr>
        <w:pStyle w:val="Heading2"/>
      </w:pPr>
      <w:r>
        <w:rPr>
          <w:rFonts w:ascii="Montserrat" w:cs="Montserrat" w:eastAsia="Montserrat" w:hAnsi="Montserrat"/>
          <w:b/>
          <w:bCs/>
          <w:color w:val="0A1D3D"/>
          <w:sz w:val="24"/>
          <w:szCs w:val="24"/>
        </w:rPr>
        <w:t xml:space="preserve">B.4  Tailles minimales</w:t>
      </w:r>
    </w:p>
    <w:p>
      <w:pPr>
        <w:keepNext/>
        <w:spacing w:after="60" w:before="120"/>
        <w:jc w:val="center"/>
      </w:pPr>
      <w:r>
        <w:drawing>
          <wp:inline distT="0" distB="0" distL="0" distR="0">
            <wp:extent cx="6124575" cy="2676525"/>
            <wp:effectExtent t="0" r="0" b="0" l="0"/>
            <wp:docPr id="1" name="03_tailles_minimales.png" descr="Tailles minimales (représentées agrandies)." title="Tailles minimales (représentées agrand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2676525"/>
                    </a:xfrm>
                    <a:prstGeom prst="rect">
                      <a:avLst/>
                    </a:prstGeom>
                  </pic:spPr>
                </pic:pic>
              </a:graphicData>
            </a:graphic>
          </wp:inline>
        </w:drawing>
      </w:r>
    </w:p>
    <w:p>
      <w:pPr>
        <w:spacing w:after="200"/>
        <w:jc w:val="center"/>
      </w:pPr>
      <w:r>
        <w:rPr>
          <w:rFonts w:ascii="Montserrat" w:cs="Montserrat" w:eastAsia="Montserrat" w:hAnsi="Montserrat"/>
          <w:color w:val="626262"/>
          <w:sz w:val="15"/>
          <w:szCs w:val="15"/>
        </w:rPr>
        <w:t xml:space="preserve">Tailles minimales (représentées agrandies).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1606"/>
        <w:gridCol w:w="2320"/>
        <w:gridCol w:w="3570"/>
      </w:tblGrid>
      <w:tr>
        <w:trPr>
          <w:cantSplit/>
          <w:tblHeader/>
        </w:trPr>
        <w:tc>
          <w:tcPr>
            <w:tcW w:type="dxa" w:w="2142"/>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Déclinaison</w:t>
            </w:r>
          </w:p>
        </w:tc>
        <w:tc>
          <w:tcPr>
            <w:tcW w:type="dxa" w:w="1606"/>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Papier</w:t>
            </w:r>
          </w:p>
        </w:tc>
        <w:tc>
          <w:tcPr>
            <w:tcW w:type="dxa" w:w="2320"/>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Écran</w:t>
            </w:r>
          </w:p>
        </w:tc>
        <w:tc>
          <w:tcPr>
            <w:tcW w:type="dxa" w:w="3570"/>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Statut</w:t>
            </w:r>
          </w:p>
        </w:tc>
      </w:tr>
      <w:tr>
        <w:trPr>
          <w:cantSplit/>
        </w:trPr>
        <w:tc>
          <w:tcPr>
            <w:tcW w:type="dxa" w:w="214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Symbole seul</w:t>
            </w:r>
          </w:p>
        </w:tc>
        <w:tc>
          <w:tcPr>
            <w:tcW w:type="dxa" w:w="1606"/>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8 mm</w:t>
            </w:r>
          </w:p>
        </w:tc>
        <w:tc>
          <w:tcPr>
            <w:tcW w:type="dxa" w:w="2320"/>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24 px</w:t>
            </w:r>
          </w:p>
        </w:tc>
        <w:tc>
          <w:tcPr>
            <w:tcW w:type="dxa" w:w="3570"/>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0A676"/>
                <w:sz w:val="16"/>
                <w:szCs w:val="16"/>
              </w:rPr>
              <w:t xml:space="preserve">Documenté (planche : « 8 mm PRINT », « 24 px DIGITAL »)</w:t>
            </w:r>
          </w:p>
        </w:tc>
      </w:tr>
      <w:tr>
        <w:trPr>
          <w:cantSplit/>
        </w:trPr>
        <w:tc>
          <w:tcPr>
            <w:tcW w:type="dxa" w:w="2142"/>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Logo principal</w:t>
            </w:r>
          </w:p>
        </w:tc>
        <w:tc>
          <w:tcPr>
            <w:tcW w:type="dxa" w:w="1606"/>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25 mm de large</w:t>
            </w:r>
          </w:p>
        </w:tc>
        <w:tc>
          <w:tcPr>
            <w:tcW w:type="dxa" w:w="2320"/>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120 px de large</w:t>
            </w:r>
          </w:p>
        </w:tc>
        <w:tc>
          <w:tcPr>
            <w:tcW w:type="dxa" w:w="3570"/>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 (hauteur de capitale ≥ 1,7 mm / 8 px)</w:t>
            </w:r>
          </w:p>
        </w:tc>
      </w:tr>
      <w:tr>
        <w:trPr>
          <w:cantSplit/>
        </w:trPr>
        <w:tc>
          <w:tcPr>
            <w:tcW w:type="dxa" w:w="214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Logo principal + slogan</w:t>
            </w:r>
          </w:p>
        </w:tc>
        <w:tc>
          <w:tcPr>
            <w:tcW w:type="dxa" w:w="1606"/>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100 mm de large (slogan ≈ 5 pt)</w:t>
            </w:r>
          </w:p>
        </w:tc>
        <w:tc>
          <w:tcPr>
            <w:tcW w:type="dxa" w:w="2320"/>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520 px de large (slogan ≈ 9 px)</w:t>
            </w:r>
          </w:p>
        </w:tc>
        <w:tc>
          <w:tcPr>
            <w:tcW w:type="dxa" w:w="3570"/>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 (en dessous, utiliser le logo sans slogan et placer le slogan à part)</w:t>
            </w:r>
          </w:p>
        </w:tc>
      </w:tr>
      <w:tr>
        <w:trPr>
          <w:cantSplit/>
        </w:trPr>
        <w:tc>
          <w:tcPr>
            <w:tcW w:type="dxa" w:w="2142"/>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Favicon 16 px</w:t>
            </w:r>
          </w:p>
        </w:tc>
        <w:tc>
          <w:tcPr>
            <w:tcW w:type="dxa" w:w="1606"/>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w:t>
            </w:r>
          </w:p>
        </w:tc>
        <w:tc>
          <w:tcPr>
            <w:tcW w:type="dxa" w:w="2320"/>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Tuile Deep Navy + symbole blanc</w:t>
            </w:r>
          </w:p>
        </w:tc>
        <w:tc>
          <w:tcPr>
            <w:tcW w:type="dxa" w:w="3570"/>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 (le symbole seul à 16 px devient illisible ; voir E.5)</w:t>
            </w:r>
          </w:p>
        </w:tc>
      </w:tr>
    </w:tbl>
    <w:p>
      <w:pPr>
        <w:pStyle w:val="Heading2"/>
      </w:pPr>
      <w:r>
        <w:rPr>
          <w:rFonts w:ascii="Montserrat" w:cs="Montserrat" w:eastAsia="Montserrat" w:hAnsi="Montserrat"/>
          <w:b/>
          <w:bCs/>
          <w:color w:val="0A1D3D"/>
          <w:sz w:val="24"/>
          <w:szCs w:val="24"/>
        </w:rPr>
        <w:t xml:space="preserve">B.5  Utilisation sur fond clair et sur fond foncé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505"/>
        <w:gridCol w:w="2278"/>
        <w:gridCol w:w="1927"/>
      </w:tblGrid>
      <w:tr>
        <w:trPr>
          <w:cantSplit/>
          <w:tblHeader/>
        </w:trPr>
        <w:tc>
          <w:tcPr>
            <w:tcW w:type="dxa" w:w="1928"/>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Fond</w:t>
            </w:r>
          </w:p>
        </w:tc>
        <w:tc>
          <w:tcPr>
            <w:tcW w:type="dxa" w:w="3505"/>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Version du logo</w:t>
            </w:r>
          </w:p>
        </w:tc>
        <w:tc>
          <w:tcPr>
            <w:tcW w:type="dxa" w:w="2278"/>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Contraste mesuré</w:t>
            </w:r>
          </w:p>
        </w:tc>
        <w:tc>
          <w:tcPr>
            <w:tcW w:type="dxa" w:w="1927"/>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Statut</w:t>
            </w:r>
          </w:p>
        </w:tc>
      </w:tr>
      <w:tr>
        <w:trPr>
          <w:cantSplit/>
        </w:trPr>
        <w:tc>
          <w:tcPr>
            <w:tcW w:type="dxa" w:w="192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White (#FFFFFF)</w:t>
            </w:r>
          </w:p>
        </w:tc>
        <w:tc>
          <w:tcPr>
            <w:tcW w:type="dxa" w:w="3505"/>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Couleur ; noire ; monochrome</w:t>
            </w:r>
          </w:p>
        </w:tc>
        <w:tc>
          <w:tcPr>
            <w:tcW w:type="dxa" w:w="227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Deep Navy / White : 16,7 : 1</w:t>
            </w:r>
          </w:p>
        </w:tc>
        <w:tc>
          <w:tcPr>
            <w:tcW w:type="dxa" w:w="192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0A676"/>
                <w:sz w:val="16"/>
                <w:szCs w:val="16"/>
              </w:rPr>
              <w:t xml:space="preserve">Documenté (planche)</w:t>
            </w:r>
          </w:p>
        </w:tc>
      </w:tr>
      <w:tr>
        <w:trPr>
          <w:cantSplit/>
        </w:trPr>
        <w:tc>
          <w:tcPr>
            <w:tcW w:type="dxa" w:w="192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Light Gray (#F2F4F7)</w:t>
            </w:r>
          </w:p>
        </w:tc>
        <w:tc>
          <w:tcPr>
            <w:tcW w:type="dxa" w:w="3505"/>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Couleur ; noire</w:t>
            </w:r>
          </w:p>
        </w:tc>
        <w:tc>
          <w:tcPr>
            <w:tcW w:type="dxa" w:w="227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Deep Navy / Light Gray : 15,2 : 1</w:t>
            </w:r>
          </w:p>
        </w:tc>
        <w:tc>
          <w:tcPr>
            <w:tcW w:type="dxa" w:w="192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192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Deep Navy (#0A1D3D)</w:t>
            </w:r>
          </w:p>
        </w:tc>
        <w:tc>
          <w:tcPr>
            <w:tcW w:type="dxa" w:w="3505"/>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1E1E1E"/>
                <w:sz w:val="16"/>
                <w:szCs w:val="16"/>
              </w:rPr>
              <w:t xml:space="preserve">Blanche uniquement</w:t>
            </w:r>
            <w:r>
              <w:rPr>
                <w:rFonts w:ascii="Montserrat" w:cs="Montserrat" w:eastAsia="Montserrat" w:hAnsi="Montserrat"/>
                <w:color w:val="1E1E1E"/>
                <w:sz w:val="16"/>
                <w:szCs w:val="16"/>
              </w:rPr>
              <w:t xml:space="preserve"> (le filet passe à 35 % d’opacité)</w:t>
            </w:r>
          </w:p>
        </w:tc>
        <w:tc>
          <w:tcPr>
            <w:tcW w:type="dxa" w:w="227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White / Deep Navy : 16,7 : 1</w:t>
            </w:r>
          </w:p>
        </w:tc>
        <w:tc>
          <w:tcPr>
            <w:tcW w:type="dxa" w:w="192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0A676"/>
                <w:sz w:val="16"/>
                <w:szCs w:val="16"/>
              </w:rPr>
              <w:t xml:space="preserve">Documenté (planche)</w:t>
            </w:r>
          </w:p>
        </w:tc>
      </w:tr>
      <w:tr>
        <w:trPr>
          <w:cantSplit/>
        </w:trPr>
        <w:tc>
          <w:tcPr>
            <w:tcW w:type="dxa" w:w="192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Emerald Green (#00A676)</w:t>
            </w:r>
          </w:p>
        </w:tc>
        <w:tc>
          <w:tcPr>
            <w:tcW w:type="dxa" w:w="3505"/>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Blanche, à partir de grandes tailles seulement : contraste 3,1 : 1</w:t>
            </w:r>
          </w:p>
        </w:tc>
        <w:tc>
          <w:tcPr>
            <w:tcW w:type="dxa" w:w="227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White / Emerald : 3,13 : 1</w:t>
            </w:r>
          </w:p>
        </w:tc>
        <w:tc>
          <w:tcPr>
            <w:tcW w:type="dxa" w:w="192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 : non montré par la planche</w:t>
            </w:r>
          </w:p>
        </w:tc>
      </w:tr>
      <w:tr>
        <w:trPr>
          <w:cantSplit/>
        </w:trPr>
        <w:tc>
          <w:tcPr>
            <w:tcW w:type="dxa" w:w="192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Photographie</w:t>
            </w:r>
          </w:p>
        </w:tc>
        <w:tc>
          <w:tcPr>
            <w:tcW w:type="dxa" w:w="3505"/>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Blanche, sur zone sombre et uniforme (contraste ≥ 4,5 : 1) ; sinon poser le logo sur un aplat Deep Navy</w:t>
            </w:r>
          </w:p>
        </w:tc>
        <w:tc>
          <w:tcPr>
            <w:tcW w:type="dxa" w:w="227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w:t>
            </w:r>
          </w:p>
        </w:tc>
        <w:tc>
          <w:tcPr>
            <w:tcW w:type="dxa" w:w="192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bl>
    <w:p>
      <w:pPr>
        <w:pStyle w:val="Heading2"/>
      </w:pPr>
      <w:r>
        <w:rPr>
          <w:rFonts w:ascii="Montserrat" w:cs="Montserrat" w:eastAsia="Montserrat" w:hAnsi="Montserrat"/>
          <w:b/>
          <w:bCs/>
          <w:color w:val="0A1D3D"/>
          <w:sz w:val="24"/>
          <w:szCs w:val="24"/>
        </w:rPr>
        <w:t xml:space="preserve">B.6  Exemples d’utilisations correctes et incorrectes</w:t>
      </w:r>
    </w:p>
    <w:p>
      <w:pPr>
        <w:keepNext/>
        <w:spacing w:after="60" w:before="120"/>
        <w:jc w:val="center"/>
      </w:pPr>
      <w:r>
        <w:drawing>
          <wp:inline distT="0" distB="0" distL="0" distR="0">
            <wp:extent cx="6124575" cy="3505200"/>
            <wp:effectExtent t="0" r="0" b="0" l="0"/>
            <wp:docPr id="1" name="08_usages_corrects_interdits.png" descr="Usages corrects (haut) et interdits (bas). Les mauvais usages sont des démonstrations, ils ne sont pas à reproduire." title="Usages corrects (haut) et interdits (bas). Les mauvais usages sont des démonstrations, ils ne sont pas à reprodu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3505200"/>
                    </a:xfrm>
                    <a:prstGeom prst="rect">
                      <a:avLst/>
                    </a:prstGeom>
                  </pic:spPr>
                </pic:pic>
              </a:graphicData>
            </a:graphic>
          </wp:inline>
        </w:drawing>
      </w:r>
    </w:p>
    <w:p>
      <w:pPr>
        <w:spacing w:after="200"/>
        <w:jc w:val="center"/>
      </w:pPr>
      <w:r>
        <w:rPr>
          <w:rFonts w:ascii="Montserrat" w:cs="Montserrat" w:eastAsia="Montserrat" w:hAnsi="Montserrat"/>
          <w:color w:val="626262"/>
          <w:sz w:val="15"/>
          <w:szCs w:val="15"/>
        </w:rPr>
        <w:t xml:space="preserve">Usages corrects (haut) et interdits (bas). Les mauvais usages sont des démonstrations, ils ne sont pas à reproduire.</w:t>
      </w:r>
    </w:p>
    <w:p>
      <w:pPr>
        <w:pStyle w:val="ListParagraph"/>
        <w:numPr>
          <w:ilvl w:val="0"/>
          <w:numId w:val="2"/>
        </w:numPr>
        <w:spacing w:after="70"/>
      </w:pPr>
      <w:r>
        <w:rPr>
          <w:rFonts w:ascii="Montserrat" w:cs="Montserrat" w:eastAsia="Montserrat" w:hAnsi="Montserrat"/>
          <w:b/>
          <w:bCs/>
          <w:color w:val="1E1E1E"/>
          <w:sz w:val="19"/>
          <w:szCs w:val="19"/>
        </w:rPr>
        <w:t xml:space="preserve">Interdit</w:t>
      </w:r>
      <w:r>
        <w:rPr>
          <w:rFonts w:ascii="Montserrat" w:cs="Montserrat" w:eastAsia="Montserrat" w:hAnsi="Montserrat"/>
          <w:color w:val="1E1E1E"/>
          <w:sz w:val="19"/>
          <w:szCs w:val="19"/>
        </w:rPr>
        <w:t xml:space="preserve"> : étirer, déformer, pivoter, recadrer ou tronquer le logo.</w:t>
      </w:r>
    </w:p>
    <w:p>
      <w:pPr>
        <w:pStyle w:val="ListParagraph"/>
        <w:numPr>
          <w:ilvl w:val="0"/>
          <w:numId w:val="2"/>
        </w:numPr>
        <w:spacing w:after="70"/>
      </w:pPr>
      <w:r>
        <w:rPr>
          <w:rFonts w:ascii="Montserrat" w:cs="Montserrat" w:eastAsia="Montserrat" w:hAnsi="Montserrat"/>
          <w:b/>
          <w:bCs/>
          <w:color w:val="1E1E1E"/>
          <w:sz w:val="19"/>
          <w:szCs w:val="19"/>
        </w:rPr>
        <w:t xml:space="preserve">Interdit</w:t>
      </w:r>
      <w:r>
        <w:rPr>
          <w:rFonts w:ascii="Montserrat" w:cs="Montserrat" w:eastAsia="Montserrat" w:hAnsi="Montserrat"/>
          <w:color w:val="1E1E1E"/>
          <w:sz w:val="19"/>
          <w:szCs w:val="19"/>
        </w:rPr>
        <w:t xml:space="preserve"> : modifier les couleurs, ajouter ombre, contour, dégradé ou transparence.</w:t>
      </w:r>
    </w:p>
    <w:p>
      <w:pPr>
        <w:pStyle w:val="ListParagraph"/>
        <w:numPr>
          <w:ilvl w:val="0"/>
          <w:numId w:val="2"/>
        </w:numPr>
        <w:spacing w:after="70"/>
      </w:pPr>
      <w:r>
        <w:rPr>
          <w:rFonts w:ascii="Montserrat" w:cs="Montserrat" w:eastAsia="Montserrat" w:hAnsi="Montserrat"/>
          <w:b/>
          <w:bCs/>
          <w:color w:val="1E1E1E"/>
          <w:sz w:val="19"/>
          <w:szCs w:val="19"/>
        </w:rPr>
        <w:t xml:space="preserve">Interdit</w:t>
      </w:r>
      <w:r>
        <w:rPr>
          <w:rFonts w:ascii="Montserrat" w:cs="Montserrat" w:eastAsia="Montserrat" w:hAnsi="Montserrat"/>
          <w:color w:val="1E1E1E"/>
          <w:sz w:val="19"/>
          <w:szCs w:val="19"/>
        </w:rPr>
        <w:t xml:space="preserve"> : séparer ou réorganiser les éléments (symbole, filet, nom), remplacer le nom de marque par une police.</w:t>
      </w:r>
    </w:p>
    <w:p>
      <w:pPr>
        <w:pStyle w:val="ListParagraph"/>
        <w:numPr>
          <w:ilvl w:val="0"/>
          <w:numId w:val="2"/>
        </w:numPr>
        <w:spacing w:after="70"/>
      </w:pPr>
      <w:r>
        <w:rPr>
          <w:rFonts w:ascii="Montserrat" w:cs="Montserrat" w:eastAsia="Montserrat" w:hAnsi="Montserrat"/>
          <w:b/>
          <w:bCs/>
          <w:color w:val="1E1E1E"/>
          <w:sz w:val="19"/>
          <w:szCs w:val="19"/>
        </w:rPr>
        <w:t xml:space="preserve">Interdit</w:t>
      </w:r>
      <w:r>
        <w:rPr>
          <w:rFonts w:ascii="Montserrat" w:cs="Montserrat" w:eastAsia="Montserrat" w:hAnsi="Montserrat"/>
          <w:color w:val="1E1E1E"/>
          <w:sz w:val="19"/>
          <w:szCs w:val="19"/>
        </w:rPr>
        <w:t xml:space="preserve"> : version couleur sur Deep Navy ou sur fond chargé ou de faible contraste.</w:t>
      </w:r>
    </w:p>
    <w:p>
      <w:pPr>
        <w:pStyle w:val="Heading2"/>
      </w:pPr>
      <w:r>
        <w:rPr>
          <w:rFonts w:ascii="Montserrat" w:cs="Montserrat" w:eastAsia="Montserrat" w:hAnsi="Montserrat"/>
          <w:b/>
          <w:bCs/>
          <w:color w:val="0A1D3D"/>
          <w:sz w:val="24"/>
          <w:szCs w:val="24"/>
        </w:rPr>
        <w:t xml:space="preserve">B.7  Fichiers du kit logo</w:t>
      </w:r>
    </w:p>
    <w:p>
      <w:pPr>
        <w:pStyle w:val="TTGCorps"/>
      </w:pPr>
      <w:r>
        <w:rPr>
          <w:rFonts w:ascii="Montserrat" w:cs="Montserrat" w:eastAsia="Montserrat" w:hAnsi="Montserrat"/>
          <w:color w:val="1E1E1E"/>
          <w:sz w:val="19"/>
          <w:szCs w:val="19"/>
        </w:rPr>
        <w:t xml:space="preserve">Le dossier 02_Logo_Illustrator/Logo_TechnologyTrade_Group/ contient : SVG (dont TTG_Logo_SOURCE_MAITRE.svg, calques nommés), PDF et EPS vectoriels CMJN, PNG transparents 300 ppp, aperçus et comparaison avec l’original, script Convertir_SVG_en_AI.jsx, README technique et rapport de fidélité. </w:t>
      </w:r>
      <w:r>
        <w:rPr>
          <w:rFonts w:ascii="Montserrat" w:cs="Montserrat" w:eastAsia="Montserrat" w:hAnsi="Montserrat"/>
          <w:b/>
          <w:bCs/>
          <w:color w:val="1E1E1E"/>
          <w:sz w:val="19"/>
          <w:szCs w:val="19"/>
        </w:rPr>
        <w:t xml:space="preserve">Aucun fichier .ai natif n’a pu être produit</w:t>
      </w:r>
      <w:r>
        <w:rPr>
          <w:rFonts w:ascii="Montserrat" w:cs="Montserrat" w:eastAsia="Montserrat" w:hAnsi="Montserrat"/>
          <w:color w:val="1E1E1E"/>
          <w:sz w:val="19"/>
          <w:szCs w:val="19"/>
        </w:rPr>
        <w:t xml:space="preserve"> dans cet environnement : ouvrir le SVG, le PDF ou l’EPS dans Illustrator puis « Enregistrer sous » .ai.</w:t>
      </w:r>
    </w:p>
    <w:p>
      <w:pPr>
        <w:pStyle w:val="TTGNote"/>
      </w:pPr>
      <w:r>
        <w:rPr>
          <w:rFonts w:ascii="Montserrat" w:cs="Montserrat" w:eastAsia="Montserrat" w:hAnsi="Montserrat"/>
          <w:color w:val="626262"/>
          <w:sz w:val="15"/>
          <w:szCs w:val="15"/>
        </w:rPr>
        <w:t xml:space="preserve">Fidélité de la vectorisation mesurée sur le logo fourni : IoU 0,978 ; écart moyen 3,2 / 255 par pixel ; 0,44 % des pixels au-delà de 40 / 255. Voir Apercus/Comparaison_original_vs_vectorisation.png.</w:t>
      </w:r>
    </w:p>
    <w:p>
      <w:pPr>
        <w:pStyle w:val="Heading1"/>
        <w:pageBreakBefore/>
      </w:pPr>
      <w:r>
        <w:rPr>
          <w:rFonts w:ascii="Montserrat" w:cs="Montserrat" w:eastAsia="Montserrat" w:hAnsi="Montserrat"/>
          <w:b/>
          <w:bCs/>
          <w:color w:val="0A1D3D"/>
          <w:sz w:val="34"/>
          <w:szCs w:val="34"/>
        </w:rPr>
        <w:t xml:space="preserve">C — Palette officielle</w:t>
      </w:r>
    </w:p>
    <w:p>
      <w:pPr>
        <w:pStyle w:val="TTGCorps"/>
      </w:pPr>
      <w:r>
        <w:rPr>
          <w:rFonts w:ascii="Montserrat" w:cs="Montserrat" w:eastAsia="Montserrat" w:hAnsi="Montserrat"/>
          <w:color w:val="1E1E1E"/>
          <w:sz w:val="19"/>
          <w:szCs w:val="19"/>
        </w:rPr>
        <w:t xml:space="preserve">La palette de la planche compte </w:t>
      </w:r>
      <w:r>
        <w:rPr>
          <w:rFonts w:ascii="Montserrat" w:cs="Montserrat" w:eastAsia="Montserrat" w:hAnsi="Montserrat"/>
          <w:b/>
          <w:bCs/>
          <w:color w:val="1E1E1E"/>
          <w:sz w:val="19"/>
          <w:szCs w:val="19"/>
        </w:rPr>
        <w:t xml:space="preserve">cinq couleurs</w:t>
      </w:r>
      <w:r>
        <w:rPr>
          <w:rFonts w:ascii="Montserrat" w:cs="Montserrat" w:eastAsia="Montserrat" w:hAnsi="Montserrat"/>
          <w:color w:val="1E1E1E"/>
          <w:sz w:val="19"/>
          <w:szCs w:val="19"/>
        </w:rPr>
        <w:t xml:space="preserve">. Les valeurs ci-dessous sont celles écrites sur la planche (RVB et CMJN) ; les HEX sont lus ou recalculés à partir du RVB. </w:t>
      </w:r>
      <w:r>
        <w:rPr>
          <w:rFonts w:ascii="Montserrat" w:cs="Montserrat" w:eastAsia="Montserrat" w:hAnsi="Montserrat"/>
          <w:b/>
          <w:bCs/>
          <w:color w:val="1E1E1E"/>
          <w:sz w:val="19"/>
          <w:szCs w:val="19"/>
        </w:rPr>
        <w:t xml:space="preserve">Les conversions CMJN sont celles de la planche et peuvent varier selon le profil colorimétrique et le papier</w:t>
      </w:r>
      <w:r>
        <w:rPr>
          <w:rFonts w:ascii="Montserrat" w:cs="Montserrat" w:eastAsia="Montserrat" w:hAnsi="Montserrat"/>
          <w:color w:val="1E1E1E"/>
          <w:sz w:val="19"/>
          <w:szCs w:val="19"/>
        </w:rPr>
        <w:t xml:space="preserve"> ; aucune référence Pantone n’est fournie, aucune n’a été inventée.</w:t>
      </w:r>
    </w:p>
    <w:p>
      <w:pPr>
        <w:pStyle w:val="Heading2"/>
      </w:pPr>
      <w:r>
        <w:rPr>
          <w:rFonts w:ascii="Montserrat" w:cs="Montserrat" w:eastAsia="Montserrat" w:hAnsi="Montserrat"/>
          <w:b/>
          <w:bCs/>
          <w:color w:val="0A1D3D"/>
          <w:sz w:val="24"/>
          <w:szCs w:val="24"/>
        </w:rPr>
        <w:t xml:space="preserve">C.1  Couleurs principales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71"/>
        <w:gridCol w:w="1801"/>
        <w:gridCol w:w="1261"/>
        <w:gridCol w:w="1801"/>
        <w:gridCol w:w="2162"/>
        <w:gridCol w:w="1442"/>
      </w:tblGrid>
      <w:tr>
        <w:trPr>
          <w:tblHeader/>
        </w:trPr>
        <w:tc>
          <w:tcPr>
            <w:tcW w:type="dxa" w:w="1171"/>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Aperçu</w:t>
            </w:r>
          </w:p>
        </w:tc>
        <w:tc>
          <w:tcPr>
            <w:tcW w:type="dxa" w:w="1801"/>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Nom</w:t>
            </w:r>
          </w:p>
        </w:tc>
        <w:tc>
          <w:tcPr>
            <w:tcW w:type="dxa" w:w="1261"/>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HEX</w:t>
            </w:r>
          </w:p>
        </w:tc>
        <w:tc>
          <w:tcPr>
            <w:tcW w:type="dxa" w:w="1801"/>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RVB</w:t>
            </w:r>
          </w:p>
        </w:tc>
        <w:tc>
          <w:tcPr>
            <w:tcW w:type="dxa" w:w="2162"/>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CMJN</w:t>
            </w:r>
          </w:p>
        </w:tc>
        <w:tc>
          <w:tcPr>
            <w:tcW w:type="dxa" w:w="1442"/>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Statut</w:t>
            </w:r>
          </w:p>
        </w:tc>
      </w:tr>
      <w:tr>
        <w:trPr>
          <w:cantSplit/>
          <w:trHeight w:val="760" w:hRule="atLeast"/>
        </w:trPr>
        <w:tc>
          <w:tcPr>
            <w:tcW w:type="dxa" w:w="1171"/>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 </w:t>
            </w:r>
          </w:p>
        </w:tc>
        <w:tc>
          <w:tcPr>
            <w:tcW w:type="dxa" w:w="1801"/>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1E1E1E"/>
                <w:sz w:val="16"/>
                <w:szCs w:val="16"/>
              </w:rPr>
              <w:t xml:space="preserve">Deep Navy</w:t>
            </w:r>
          </w:p>
        </w:tc>
        <w:tc>
          <w:tcPr>
            <w:tcW w:type="dxa" w:w="1261"/>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#0A1D3D</w:t>
            </w:r>
          </w:p>
        </w:tc>
        <w:tc>
          <w:tcPr>
            <w:tcW w:type="dxa" w:w="1801"/>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10 / 29 / 61</w:t>
            </w:r>
          </w:p>
        </w:tc>
        <w:tc>
          <w:tcPr>
            <w:tcW w:type="dxa" w:w="216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100 / 85 / 30 / 55</w:t>
            </w:r>
          </w:p>
        </w:tc>
        <w:tc>
          <w:tcPr>
            <w:tcW w:type="dxa" w:w="144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0A676"/>
                <w:sz w:val="16"/>
                <w:szCs w:val="16"/>
              </w:rPr>
              <w:t xml:space="preserve">Documenté</w:t>
            </w:r>
          </w:p>
        </w:tc>
      </w:tr>
      <w:tr>
        <w:trPr>
          <w:cantSplit/>
          <w:trHeight w:val="760" w:hRule="atLeast"/>
        </w:trPr>
        <w:tc>
          <w:tcPr>
            <w:tcW w:type="dxa" w:w="1171"/>
            <w:tcBorders>
              <w:top w:val="single" w:color="E2E1E2" w:sz="4"/>
              <w:left w:val="single" w:color="E2E1E2" w:sz="4"/>
              <w:bottom w:val="single" w:color="E2E1E2" w:sz="4"/>
              <w:right w:val="single" w:color="E2E1E2" w:sz="4"/>
            </w:tcBorders>
            <w:shd w:fill="00A676"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 </w:t>
            </w:r>
          </w:p>
        </w:tc>
        <w:tc>
          <w:tcPr>
            <w:tcW w:type="dxa" w:w="1801"/>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1E1E1E"/>
                <w:sz w:val="16"/>
                <w:szCs w:val="16"/>
              </w:rPr>
              <w:t xml:space="preserve">Emerald Green</w:t>
            </w:r>
          </w:p>
        </w:tc>
        <w:tc>
          <w:tcPr>
            <w:tcW w:type="dxa" w:w="1261"/>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#00A676</w:t>
            </w:r>
          </w:p>
        </w:tc>
        <w:tc>
          <w:tcPr>
            <w:tcW w:type="dxa" w:w="1801"/>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0 / 166 / 118</w:t>
            </w:r>
          </w:p>
        </w:tc>
        <w:tc>
          <w:tcPr>
            <w:tcW w:type="dxa" w:w="216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85 / 0 / 70 / 0</w:t>
            </w:r>
          </w:p>
        </w:tc>
        <w:tc>
          <w:tcPr>
            <w:tcW w:type="dxa" w:w="144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0A676"/>
                <w:sz w:val="16"/>
                <w:szCs w:val="16"/>
              </w:rPr>
              <w:t xml:space="preserve">Documenté</w:t>
            </w:r>
          </w:p>
        </w:tc>
      </w:tr>
      <w:tr>
        <w:trPr>
          <w:cantSplit/>
          <w:trHeight w:val="760" w:hRule="atLeast"/>
        </w:trPr>
        <w:tc>
          <w:tcPr>
            <w:tcW w:type="dxa" w:w="1171"/>
            <w:tcBorders>
              <w:top w:val="single" w:color="E2E1E2" w:sz="4"/>
              <w:left w:val="single" w:color="E2E1E2" w:sz="4"/>
              <w:bottom w:val="single" w:color="E2E1E2" w:sz="4"/>
              <w:right w:val="single" w:color="E2E1E2" w:sz="4"/>
            </w:tcBorders>
            <w:shd w:fill="1E1E1E"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 </w:t>
            </w:r>
          </w:p>
        </w:tc>
        <w:tc>
          <w:tcPr>
            <w:tcW w:type="dxa" w:w="1801"/>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1E1E1E"/>
                <w:sz w:val="16"/>
                <w:szCs w:val="16"/>
              </w:rPr>
              <w:t xml:space="preserve">Graphite</w:t>
            </w:r>
          </w:p>
        </w:tc>
        <w:tc>
          <w:tcPr>
            <w:tcW w:type="dxa" w:w="1261"/>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#1E1E1E</w:t>
            </w:r>
          </w:p>
        </w:tc>
        <w:tc>
          <w:tcPr>
            <w:tcW w:type="dxa" w:w="1801"/>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30 / 30 / 30</w:t>
            </w:r>
          </w:p>
        </w:tc>
        <w:tc>
          <w:tcPr>
            <w:tcW w:type="dxa" w:w="216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0 / 0 / 0 / 90</w:t>
            </w:r>
          </w:p>
        </w:tc>
        <w:tc>
          <w:tcPr>
            <w:tcW w:type="dxa" w:w="144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0A676"/>
                <w:sz w:val="16"/>
                <w:szCs w:val="16"/>
              </w:rPr>
              <w:t xml:space="preserve">Documenté</w:t>
            </w:r>
          </w:p>
        </w:tc>
      </w:tr>
      <w:tr>
        <w:trPr>
          <w:cantSplit/>
          <w:trHeight w:val="760" w:hRule="atLeast"/>
        </w:trPr>
        <w:tc>
          <w:tcPr>
            <w:tcW w:type="dxa" w:w="1171"/>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 </w:t>
            </w:r>
          </w:p>
        </w:tc>
        <w:tc>
          <w:tcPr>
            <w:tcW w:type="dxa" w:w="1801"/>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1E1E1E"/>
                <w:sz w:val="16"/>
                <w:szCs w:val="16"/>
              </w:rPr>
              <w:t xml:space="preserve">Light Gray</w:t>
            </w:r>
          </w:p>
        </w:tc>
        <w:tc>
          <w:tcPr>
            <w:tcW w:type="dxa" w:w="1261"/>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#F2F4F7</w:t>
            </w:r>
          </w:p>
        </w:tc>
        <w:tc>
          <w:tcPr>
            <w:tcW w:type="dxa" w:w="1801"/>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242 / 244 / 247</w:t>
            </w:r>
          </w:p>
        </w:tc>
        <w:tc>
          <w:tcPr>
            <w:tcW w:type="dxa" w:w="216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5 / 3 / 3 / 0</w:t>
            </w:r>
          </w:p>
        </w:tc>
        <w:tc>
          <w:tcPr>
            <w:tcW w:type="dxa" w:w="144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0A676"/>
                <w:sz w:val="16"/>
                <w:szCs w:val="16"/>
              </w:rPr>
              <w:t xml:space="preserve">Documenté</w:t>
            </w:r>
          </w:p>
        </w:tc>
      </w:tr>
      <w:tr>
        <w:trPr>
          <w:cantSplit/>
          <w:trHeight w:val="760" w:hRule="atLeast"/>
        </w:trPr>
        <w:tc>
          <w:tcPr>
            <w:tcW w:type="dxa" w:w="1171"/>
            <w:tcBorders>
              <w:top w:val="single" w:color="E2E1E2" w:sz="4"/>
              <w:left w:val="single" w:color="E2E1E2" w:sz="4"/>
              <w:bottom w:val="single" w:color="E2E1E2" w:sz="4"/>
              <w:right w:val="single" w:color="E2E1E2" w:sz="4"/>
            </w:tcBorders>
            <w:shd w:fill="FFFFFF"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 </w:t>
            </w:r>
          </w:p>
        </w:tc>
        <w:tc>
          <w:tcPr>
            <w:tcW w:type="dxa" w:w="1801"/>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1E1E1E"/>
                <w:sz w:val="16"/>
                <w:szCs w:val="16"/>
              </w:rPr>
              <w:t xml:space="preserve">White</w:t>
            </w:r>
          </w:p>
        </w:tc>
        <w:tc>
          <w:tcPr>
            <w:tcW w:type="dxa" w:w="1261"/>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#FFFFFF</w:t>
            </w:r>
          </w:p>
        </w:tc>
        <w:tc>
          <w:tcPr>
            <w:tcW w:type="dxa" w:w="1801"/>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255 / 255 / 255</w:t>
            </w:r>
          </w:p>
        </w:tc>
        <w:tc>
          <w:tcPr>
            <w:tcW w:type="dxa" w:w="216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0 / 0 / 0 / 0</w:t>
            </w:r>
          </w:p>
        </w:tc>
        <w:tc>
          <w:tcPr>
            <w:tcW w:type="dxa" w:w="144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0A676"/>
                <w:sz w:val="16"/>
                <w:szCs w:val="16"/>
              </w:rPr>
              <w:t xml:space="preserve">Documenté</w:t>
            </w:r>
          </w:p>
        </w:tc>
      </w:tr>
    </w:tbl>
    <w:p>
      <w:pPr>
        <w:spacing w:after="100" w:before="0"/>
      </w:pPr>
      <w:r>
        <w:rPr>
          <w:rFonts w:ascii="Montserrat" w:cs="Montserrat" w:eastAsia="Montserrat" w:hAnsi="Montserrat"/>
          <w:color w:val="1E1E1E"/>
          <w:sz w:val="19"/>
          <w:szCs w:val="19"/>
        </w:rPr>
        <w:t xml:space="preserve"/>
      </w:r>
    </w:p>
    <w:p>
      <w:pPr>
        <w:pStyle w:val="Heading2"/>
      </w:pPr>
      <w:r>
        <w:rPr>
          <w:rFonts w:ascii="Montserrat" w:cs="Montserrat" w:eastAsia="Montserrat" w:hAnsi="Montserrat"/>
          <w:b/>
          <w:bCs/>
          <w:color w:val="0A1D3D"/>
          <w:sz w:val="24"/>
          <w:szCs w:val="24"/>
        </w:rPr>
        <w:t xml:space="preserve">C.2  Rôle et applications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2"/>
        <w:gridCol w:w="3780"/>
        <w:gridCol w:w="4346"/>
      </w:tblGrid>
      <w:tr>
        <w:trPr>
          <w:cantSplit/>
          <w:tblHeader/>
        </w:trPr>
        <w:tc>
          <w:tcPr>
            <w:tcW w:type="dxa" w:w="1512"/>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Couleur</w:t>
            </w:r>
          </w:p>
        </w:tc>
        <w:tc>
          <w:tcPr>
            <w:tcW w:type="dxa" w:w="3780"/>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Rôle dans le système</w:t>
            </w:r>
          </w:p>
        </w:tc>
        <w:tc>
          <w:tcPr>
            <w:tcW w:type="dxa" w:w="4346"/>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Applications</w:t>
            </w:r>
          </w:p>
        </w:tc>
      </w:tr>
      <w:tr>
        <w:trPr>
          <w:cantSplit/>
        </w:trPr>
        <w:tc>
          <w:tcPr>
            <w:tcW w:type="dxa" w:w="151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Deep Navy</w:t>
            </w:r>
          </w:p>
        </w:tc>
        <w:tc>
          <w:tcPr>
            <w:tcW w:type="dxa" w:w="3780"/>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Couleur institutionnelle dominante. Fond des supports sombres, texte du nom de marque en version couleur, titres.</w:t>
            </w:r>
          </w:p>
        </w:tc>
        <w:tc>
          <w:tcPr>
            <w:tcW w:type="dxa" w:w="4346"/>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Fond de carte, de badge, de couverture, de diapositive de titre, du site et de l’application ; titres sur fond clair ; bandeau de pied de page.</w:t>
            </w:r>
          </w:p>
        </w:tc>
      </w:tr>
      <w:tr>
        <w:trPr>
          <w:cantSplit/>
        </w:trPr>
        <w:tc>
          <w:tcPr>
            <w:tcW w:type="dxa" w:w="1512"/>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Emerald Green</w:t>
            </w:r>
          </w:p>
        </w:tc>
        <w:tc>
          <w:tcPr>
            <w:tcW w:type="dxa" w:w="3780"/>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Accent : croissance et énergie (partie verte du symbole). Jamais en grand aplat de lecture.</w:t>
            </w:r>
          </w:p>
        </w:tc>
        <w:tc>
          <w:tcPr>
            <w:tcW w:type="dxa" w:w="4346"/>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Appels à l’action, pictogrammes, fin du slogan, filets, sous-titres de niveau 3, cadres photo/QR du badge, puces.</w:t>
            </w:r>
          </w:p>
        </w:tc>
      </w:tr>
      <w:tr>
        <w:trPr>
          <w:cantSplit/>
        </w:trPr>
        <w:tc>
          <w:tcPr>
            <w:tcW w:type="dxa" w:w="151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Graphite</w:t>
            </w:r>
          </w:p>
        </w:tc>
        <w:tc>
          <w:tcPr>
            <w:tcW w:type="dxa" w:w="3780"/>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Texte courant sur fond clair ; version noire du logo.</w:t>
            </w:r>
          </w:p>
        </w:tc>
        <w:tc>
          <w:tcPr>
            <w:tcW w:type="dxa" w:w="4346"/>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Corps de texte des documents, tableaux, légendes, impression une couleur.</w:t>
            </w:r>
          </w:p>
        </w:tc>
      </w:tr>
      <w:tr>
        <w:trPr>
          <w:cantSplit/>
        </w:trPr>
        <w:tc>
          <w:tcPr>
            <w:tcW w:type="dxa" w:w="1512"/>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Light Gray</w:t>
            </w:r>
          </w:p>
        </w:tc>
        <w:tc>
          <w:tcPr>
            <w:tcW w:type="dxa" w:w="3780"/>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Fond neutre clair et surfaces de regroupement.</w:t>
            </w:r>
          </w:p>
        </w:tc>
        <w:tc>
          <w:tcPr>
            <w:tcW w:type="dxa" w:w="4346"/>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Fond de cartes et de panneaux, lignes alternées de tableaux, plaque de porte, texte sur Deep Navy.</w:t>
            </w:r>
          </w:p>
        </w:tc>
      </w:tr>
      <w:tr>
        <w:trPr>
          <w:cantSplit/>
        </w:trPr>
        <w:tc>
          <w:tcPr>
            <w:tcW w:type="dxa" w:w="151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White</w:t>
            </w:r>
          </w:p>
        </w:tc>
        <w:tc>
          <w:tcPr>
            <w:tcW w:type="dxa" w:w="3780"/>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Fond principal des documents ; couleur du logo et du texte sur Deep Navy.</w:t>
            </w:r>
          </w:p>
        </w:tc>
        <w:tc>
          <w:tcPr>
            <w:tcW w:type="dxa" w:w="4346"/>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Papier à en-tête, fond de pages web, logo blanc, champs de saisie, texte principal sur fond sombre.</w:t>
            </w:r>
          </w:p>
        </w:tc>
      </w:tr>
    </w:tbl>
    <w:p>
      <w:pPr>
        <w:spacing w:after="100" w:before="0"/>
      </w:pPr>
      <w:r>
        <w:rPr>
          <w:rFonts w:ascii="Montserrat" w:cs="Montserrat" w:eastAsia="Montserrat" w:hAnsi="Montserrat"/>
          <w:color w:val="1E1E1E"/>
          <w:sz w:val="19"/>
          <w:szCs w:val="19"/>
        </w:rPr>
        <w:t xml:space="preserve"/>
      </w:r>
    </w:p>
    <w:p>
      <w:pPr>
        <w:pStyle w:val="Heading2"/>
      </w:pPr>
      <w:r>
        <w:rPr>
          <w:rFonts w:ascii="Montserrat" w:cs="Montserrat" w:eastAsia="Montserrat" w:hAnsi="Montserrat"/>
          <w:b/>
          <w:bCs/>
          <w:color w:val="0A1D3D"/>
          <w:sz w:val="24"/>
          <w:szCs w:val="24"/>
        </w:rPr>
        <w:t xml:space="preserve">C.3  Valeurs documentées et valeurs mesurées</w:t>
      </w:r>
    </w:p>
    <w:p>
      <w:pPr>
        <w:pStyle w:val="TTGCorps"/>
      </w:pPr>
      <w:r>
        <w:rPr>
          <w:rFonts w:ascii="Montserrat" w:cs="Montserrat" w:eastAsia="Montserrat" w:hAnsi="Montserrat"/>
          <w:color w:val="1E1E1E"/>
          <w:sz w:val="19"/>
          <w:szCs w:val="19"/>
        </w:rPr>
        <w:t xml:space="preserve">Le logo fourni (PNG de 370 × 109 px) contient des aplats dont les valeurs </w:t>
      </w:r>
      <w:r>
        <w:rPr>
          <w:rFonts w:ascii="Montserrat" w:cs="Montserrat" w:eastAsia="Montserrat" w:hAnsi="Montserrat"/>
          <w:b/>
          <w:bCs/>
          <w:color w:val="1E1E1E"/>
          <w:sz w:val="19"/>
          <w:szCs w:val="19"/>
        </w:rPr>
        <w:t xml:space="preserve">mesurées</w:t>
      </w:r>
      <w:r>
        <w:rPr>
          <w:rFonts w:ascii="Montserrat" w:cs="Montserrat" w:eastAsia="Montserrat" w:hAnsi="Montserrat"/>
          <w:color w:val="1E1E1E"/>
          <w:sz w:val="19"/>
          <w:szCs w:val="19"/>
        </w:rPr>
        <w:t xml:space="preserve"> diffèrent légèrement des valeurs </w:t>
      </w:r>
      <w:r>
        <w:rPr>
          <w:rFonts w:ascii="Montserrat" w:cs="Montserrat" w:eastAsia="Montserrat" w:hAnsi="Montserrat"/>
          <w:b/>
          <w:bCs/>
          <w:color w:val="1E1E1E"/>
          <w:sz w:val="19"/>
          <w:szCs w:val="19"/>
        </w:rPr>
        <w:t xml:space="preserve">documentées</w:t>
      </w:r>
      <w:r>
        <w:rPr>
          <w:rFonts w:ascii="Montserrat" w:cs="Montserrat" w:eastAsia="Montserrat" w:hAnsi="Montserrat"/>
          <w:color w:val="1E1E1E"/>
          <w:sz w:val="19"/>
          <w:szCs w:val="19"/>
        </w:rPr>
        <w:t xml:space="preserve"> sur la planche. Les deux séries sont conservées et leur usage est précisé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3"/>
        <w:gridCol w:w="2029"/>
        <w:gridCol w:w="2029"/>
        <w:gridCol w:w="845"/>
        <w:gridCol w:w="3382"/>
      </w:tblGrid>
      <w:tr>
        <w:trPr>
          <w:cantSplit/>
          <w:tblHeader/>
        </w:trPr>
        <w:tc>
          <w:tcPr>
            <w:tcW w:type="dxa" w:w="1353"/>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Couleur</w:t>
            </w:r>
          </w:p>
        </w:tc>
        <w:tc>
          <w:tcPr>
            <w:tcW w:type="dxa" w:w="2029"/>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Documentée (planche)</w:t>
            </w:r>
          </w:p>
        </w:tc>
        <w:tc>
          <w:tcPr>
            <w:tcW w:type="dxa" w:w="2029"/>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Mesurée (logo fourni)</w:t>
            </w:r>
          </w:p>
        </w:tc>
        <w:tc>
          <w:tcPr>
            <w:tcW w:type="dxa" w:w="845"/>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Écart ΔE*ab</w:t>
            </w:r>
          </w:p>
        </w:tc>
        <w:tc>
          <w:tcPr>
            <w:tcW w:type="dxa" w:w="3382"/>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Usage dans le kit</w:t>
            </w:r>
          </w:p>
        </w:tc>
      </w:tr>
      <w:tr>
        <w:trPr>
          <w:cantSplit/>
        </w:trPr>
        <w:tc>
          <w:tcPr>
            <w:tcW w:type="dxa" w:w="1353"/>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Deep Navy</w:t>
            </w:r>
          </w:p>
        </w:tc>
        <w:tc>
          <w:tcPr>
            <w:tcW w:type="dxa" w:w="2029"/>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RVB 10 / 29 / 61  (#0A1D3D)</w:t>
            </w:r>
          </w:p>
        </w:tc>
        <w:tc>
          <w:tcPr>
            <w:tcW w:type="dxa" w:w="2029"/>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RVB 9 / 23 / 56  (#091738)</w:t>
            </w:r>
          </w:p>
        </w:tc>
        <w:tc>
          <w:tcPr>
            <w:tcW w:type="dxa" w:w="845"/>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3,4</w:t>
            </w:r>
          </w:p>
        </w:tc>
        <w:tc>
          <w:tcPr>
            <w:tcW w:type="dxa" w:w="338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Fonds et textes des supports : valeur documentée. Fichiers du logo couleur : valeur mesurée conservée.</w:t>
            </w:r>
          </w:p>
        </w:tc>
      </w:tr>
      <w:tr>
        <w:trPr>
          <w:cantSplit/>
        </w:trPr>
        <w:tc>
          <w:tcPr>
            <w:tcW w:type="dxa" w:w="1353"/>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Emerald Green</w:t>
            </w:r>
          </w:p>
        </w:tc>
        <w:tc>
          <w:tcPr>
            <w:tcW w:type="dxa" w:w="2029"/>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RVB 0 / 166 / 118  (#00A676)</w:t>
            </w:r>
          </w:p>
        </w:tc>
        <w:tc>
          <w:tcPr>
            <w:tcW w:type="dxa" w:w="2029"/>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RVB 13 / 146 / 100  (#0D9264)</w:t>
            </w:r>
          </w:p>
        </w:tc>
        <w:tc>
          <w:tcPr>
            <w:tcW w:type="dxa" w:w="845"/>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8,1</w:t>
            </w:r>
          </w:p>
        </w:tc>
        <w:tc>
          <w:tcPr>
            <w:tcW w:type="dxa" w:w="3382"/>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Idem. L’écart de 8,1 est visible : à arbitrer par la direction de marque avant tout nouvel agrandissement du logo.</w:t>
            </w:r>
          </w:p>
        </w:tc>
      </w:tr>
      <w:tr>
        <w:trPr>
          <w:cantSplit/>
        </w:trPr>
        <w:tc>
          <w:tcPr>
            <w:tcW w:type="dxa" w:w="1353"/>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Filet (gris clair)</w:t>
            </w:r>
          </w:p>
        </w:tc>
        <w:tc>
          <w:tcPr>
            <w:tcW w:type="dxa" w:w="2029"/>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w:t>
            </w:r>
          </w:p>
        </w:tc>
        <w:tc>
          <w:tcPr>
            <w:tcW w:type="dxa" w:w="2029"/>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RVB 226 / 225 / 226  (#E2E1E2)</w:t>
            </w:r>
          </w:p>
        </w:tc>
        <w:tc>
          <w:tcPr>
            <w:tcW w:type="dxa" w:w="845"/>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w:t>
            </w:r>
          </w:p>
        </w:tc>
        <w:tc>
          <w:tcPr>
            <w:tcW w:type="dxa" w:w="338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Filet du logo (blanc à 35 % en version blanche).</w:t>
            </w:r>
          </w:p>
        </w:tc>
      </w:tr>
    </w:tbl>
    <w:p>
      <w:pPr>
        <w:pStyle w:val="TTGNote"/>
      </w:pPr>
      <w:r>
        <w:rPr>
          <w:rFonts w:ascii="Montserrat" w:cs="Montserrat" w:eastAsia="Montserrat" w:hAnsi="Montserrat"/>
          <w:color w:val="626262"/>
          <w:sz w:val="15"/>
          <w:szCs w:val="15"/>
        </w:rPr>
        <w:t xml:space="preserve">ΔE*ab calculé en CIELAB (D65) entre les deux valeurs RVB : indication, pas un contrôle colorimétrique instrumental.</w:t>
      </w:r>
    </w:p>
    <w:p>
      <w:pPr>
        <w:pStyle w:val="Heading2"/>
      </w:pPr>
      <w:r>
        <w:rPr>
          <w:rFonts w:ascii="Montserrat" w:cs="Montserrat" w:eastAsia="Montserrat" w:hAnsi="Montserrat"/>
          <w:b/>
          <w:bCs/>
          <w:color w:val="0A1D3D"/>
          <w:sz w:val="24"/>
          <w:szCs w:val="24"/>
        </w:rPr>
        <w:t xml:space="preserve">C.4  Valeurs dérivées des supports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95"/>
        <w:gridCol w:w="971"/>
        <w:gridCol w:w="1345"/>
        <w:gridCol w:w="1494"/>
        <w:gridCol w:w="3287"/>
        <w:gridCol w:w="1346"/>
      </w:tblGrid>
      <w:tr>
        <w:trPr>
          <w:cantSplit/>
          <w:tblHeader/>
        </w:trPr>
        <w:tc>
          <w:tcPr>
            <w:tcW w:type="dxa" w:w="1195"/>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Teinte</w:t>
            </w:r>
          </w:p>
        </w:tc>
        <w:tc>
          <w:tcPr>
            <w:tcW w:type="dxa" w:w="971"/>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Aperçu</w:t>
            </w:r>
          </w:p>
        </w:tc>
        <w:tc>
          <w:tcPr>
            <w:tcW w:type="dxa" w:w="1345"/>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RVB</w:t>
            </w:r>
          </w:p>
        </w:tc>
        <w:tc>
          <w:tcPr>
            <w:tcW w:type="dxa" w:w="1494"/>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CMJN</w:t>
            </w:r>
          </w:p>
        </w:tc>
        <w:tc>
          <w:tcPr>
            <w:tcW w:type="dxa" w:w="3287"/>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Usage</w:t>
            </w:r>
          </w:p>
        </w:tc>
        <w:tc>
          <w:tcPr>
            <w:tcW w:type="dxa" w:w="1346"/>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Statut</w:t>
            </w:r>
          </w:p>
        </w:tc>
      </w:tr>
      <w:tr>
        <w:trPr>
          <w:cantSplit/>
        </w:trPr>
        <w:tc>
          <w:tcPr>
            <w:tcW w:type="dxa" w:w="1195"/>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Texte atténué</w:t>
            </w:r>
          </w:p>
        </w:tc>
        <w:tc>
          <w:tcPr>
            <w:tcW w:type="dxa" w:w="971"/>
            <w:tcBorders>
              <w:top w:val="single" w:color="E2E1E2" w:sz="4"/>
              <w:left w:val="single" w:color="E2E1E2" w:sz="4"/>
              <w:bottom w:val="single" w:color="E2E1E2" w:sz="4"/>
              <w:right w:val="single" w:color="E2E1E2" w:sz="4"/>
            </w:tcBorders>
            <w:shd w:fill="ACB4BF"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 </w:t>
            </w:r>
          </w:p>
        </w:tc>
        <w:tc>
          <w:tcPr>
            <w:tcW w:type="dxa" w:w="1345"/>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172 / 180 / 191</w:t>
            </w:r>
          </w:p>
        </w:tc>
        <w:tc>
          <w:tcPr>
            <w:tcW w:type="dxa" w:w="149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30 / 20 / 14 / 0</w:t>
            </w:r>
          </w:p>
        </w:tc>
        <w:tc>
          <w:tcPr>
            <w:tcW w:type="dxa" w:w="328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Fonction, coordonnées, légendes sur Deep Navy (≈ Light Gray à 70 %)</w:t>
            </w:r>
          </w:p>
        </w:tc>
        <w:tc>
          <w:tcPr>
            <w:tcW w:type="dxa" w:w="1346"/>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1195"/>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Teinte du motif</w:t>
            </w:r>
          </w:p>
        </w:tc>
        <w:tc>
          <w:tcPr>
            <w:tcW w:type="dxa" w:w="971"/>
            <w:tcBorders>
              <w:top w:val="single" w:color="E2E1E2" w:sz="4"/>
              <w:left w:val="single" w:color="E2E1E2" w:sz="4"/>
              <w:bottom w:val="single" w:color="E2E1E2" w:sz="4"/>
              <w:right w:val="single" w:color="E2E1E2" w:sz="4"/>
            </w:tcBorders>
            <w:shd w:fill="374E78"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 </w:t>
            </w:r>
          </w:p>
        </w:tc>
        <w:tc>
          <w:tcPr>
            <w:tcW w:type="dxa" w:w="1345"/>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55 / 78 / 120</w:t>
            </w:r>
          </w:p>
        </w:tc>
        <w:tc>
          <w:tcPr>
            <w:tcW w:type="dxa" w:w="149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85 / 65 / 25 / 15</w:t>
            </w:r>
          </w:p>
        </w:tc>
        <w:tc>
          <w:tcPr>
            <w:tcW w:type="dxa" w:w="328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Motif radial décoratif sur Deep Navy (carte, couvertures, post, bannière)</w:t>
            </w:r>
          </w:p>
        </w:tc>
        <w:tc>
          <w:tcPr>
            <w:tcW w:type="dxa" w:w="1346"/>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A1D3D"/>
                <w:sz w:val="16"/>
                <w:szCs w:val="16"/>
              </w:rPr>
              <w:t xml:space="preserve">Mesuré (maquette de carte)</w:t>
            </w:r>
          </w:p>
        </w:tc>
      </w:tr>
      <w:tr>
        <w:trPr>
          <w:cantSplit/>
        </w:trPr>
        <w:tc>
          <w:tcPr>
            <w:tcW w:type="dxa" w:w="1195"/>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Navy éclairci</w:t>
            </w:r>
          </w:p>
        </w:tc>
        <w:tc>
          <w:tcPr>
            <w:tcW w:type="dxa" w:w="971"/>
            <w:tcBorders>
              <w:top w:val="single" w:color="E2E1E2" w:sz="4"/>
              <w:left w:val="single" w:color="E2E1E2" w:sz="4"/>
              <w:bottom w:val="single" w:color="E2E1E2" w:sz="4"/>
              <w:right w:val="single" w:color="E2E1E2" w:sz="4"/>
            </w:tcBorders>
            <w:shd w:fill="162D56"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 </w:t>
            </w:r>
          </w:p>
        </w:tc>
        <w:tc>
          <w:tcPr>
            <w:tcW w:type="dxa" w:w="1345"/>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22 / 45 / 86</w:t>
            </w:r>
          </w:p>
        </w:tc>
        <w:tc>
          <w:tcPr>
            <w:tcW w:type="dxa" w:w="149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100 / 80 / 35 / 45</w:t>
            </w:r>
          </w:p>
        </w:tc>
        <w:tc>
          <w:tcPr>
            <w:tcW w:type="dxa" w:w="328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Emplacement photo du badge, tuiles d’interface</w:t>
            </w:r>
          </w:p>
        </w:tc>
        <w:tc>
          <w:tcPr>
            <w:tcW w:type="dxa" w:w="1346"/>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1195"/>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Gris secondaire</w:t>
            </w:r>
          </w:p>
        </w:tc>
        <w:tc>
          <w:tcPr>
            <w:tcW w:type="dxa" w:w="971"/>
            <w:tcBorders>
              <w:top w:val="single" w:color="E2E1E2" w:sz="4"/>
              <w:left w:val="single" w:color="E2E1E2" w:sz="4"/>
              <w:bottom w:val="single" w:color="E2E1E2" w:sz="4"/>
              <w:right w:val="single" w:color="E2E1E2" w:sz="4"/>
            </w:tcBorders>
            <w:shd w:fill="626262"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 </w:t>
            </w:r>
          </w:p>
        </w:tc>
        <w:tc>
          <w:tcPr>
            <w:tcW w:type="dxa" w:w="1345"/>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98 / 98 / 98</w:t>
            </w:r>
          </w:p>
        </w:tc>
        <w:tc>
          <w:tcPr>
            <w:tcW w:type="dxa" w:w="149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0 / 0 / 0 / 62</w:t>
            </w:r>
          </w:p>
        </w:tc>
        <w:tc>
          <w:tcPr>
            <w:tcW w:type="dxa" w:w="328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Texte secondaire et légendes sur fond clair (papier à en-tête, documents, signature e-mail)</w:t>
            </w:r>
          </w:p>
        </w:tc>
        <w:tc>
          <w:tcPr>
            <w:tcW w:type="dxa" w:w="1346"/>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bl>
    <w:p>
      <w:pPr>
        <w:spacing w:after="100" w:before="0"/>
      </w:pPr>
      <w:r>
        <w:rPr>
          <w:rFonts w:ascii="Montserrat" w:cs="Montserrat" w:eastAsia="Montserrat" w:hAnsi="Montserrat"/>
          <w:color w:val="1E1E1E"/>
          <w:sz w:val="19"/>
          <w:szCs w:val="19"/>
        </w:rPr>
        <w:t xml:space="preserve"/>
      </w:r>
    </w:p>
    <w:p>
      <w:pPr>
        <w:pStyle w:val="Heading2"/>
      </w:pPr>
      <w:r>
        <w:rPr>
          <w:rFonts w:ascii="Montserrat" w:cs="Montserrat" w:eastAsia="Montserrat" w:hAnsi="Montserrat"/>
          <w:b/>
          <w:bCs/>
          <w:color w:val="0A1D3D"/>
          <w:sz w:val="24"/>
          <w:szCs w:val="24"/>
        </w:rPr>
        <w:t xml:space="preserve">C.5  Contrastes (WCAG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2224"/>
        <w:gridCol w:w="1483"/>
        <w:gridCol w:w="3707"/>
      </w:tblGrid>
      <w:tr>
        <w:trPr>
          <w:cantSplit/>
          <w:tblHeader/>
        </w:trPr>
        <w:tc>
          <w:tcPr>
            <w:tcW w:type="dxa" w:w="2224"/>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Texte</w:t>
            </w:r>
          </w:p>
        </w:tc>
        <w:tc>
          <w:tcPr>
            <w:tcW w:type="dxa" w:w="2224"/>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Fond</w:t>
            </w:r>
          </w:p>
        </w:tc>
        <w:tc>
          <w:tcPr>
            <w:tcW w:type="dxa" w:w="1483"/>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Rapport</w:t>
            </w:r>
          </w:p>
        </w:tc>
        <w:tc>
          <w:tcPr>
            <w:tcW w:type="dxa" w:w="3707"/>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Niveau</w:t>
            </w:r>
          </w:p>
        </w:tc>
      </w:tr>
      <w:tr>
        <w:trPr>
          <w:cantSplit/>
        </w:trPr>
        <w:tc>
          <w:tcPr>
            <w:tcW w:type="dxa" w:w="222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White</w:t>
            </w:r>
          </w:p>
        </w:tc>
        <w:tc>
          <w:tcPr>
            <w:tcW w:type="dxa" w:w="222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Deep Navy</w:t>
            </w:r>
          </w:p>
        </w:tc>
        <w:tc>
          <w:tcPr>
            <w:tcW w:type="dxa" w:w="1483"/>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16,72 : 1</w:t>
            </w:r>
          </w:p>
        </w:tc>
        <w:tc>
          <w:tcPr>
            <w:tcW w:type="dxa" w:w="370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AAA</w:t>
            </w:r>
          </w:p>
        </w:tc>
      </w:tr>
      <w:tr>
        <w:trPr>
          <w:cantSplit/>
        </w:trPr>
        <w:tc>
          <w:tcPr>
            <w:tcW w:type="dxa" w:w="222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Light Gray</w:t>
            </w:r>
          </w:p>
        </w:tc>
        <w:tc>
          <w:tcPr>
            <w:tcW w:type="dxa" w:w="222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Deep Navy</w:t>
            </w:r>
          </w:p>
        </w:tc>
        <w:tc>
          <w:tcPr>
            <w:tcW w:type="dxa" w:w="1483"/>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15,17 : 1</w:t>
            </w:r>
          </w:p>
        </w:tc>
        <w:tc>
          <w:tcPr>
            <w:tcW w:type="dxa" w:w="370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AAA</w:t>
            </w:r>
          </w:p>
        </w:tc>
      </w:tr>
      <w:tr>
        <w:trPr>
          <w:cantSplit/>
        </w:trPr>
        <w:tc>
          <w:tcPr>
            <w:tcW w:type="dxa" w:w="222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Texte atténué</w:t>
            </w:r>
          </w:p>
        </w:tc>
        <w:tc>
          <w:tcPr>
            <w:tcW w:type="dxa" w:w="222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Deep Navy</w:t>
            </w:r>
          </w:p>
        </w:tc>
        <w:tc>
          <w:tcPr>
            <w:tcW w:type="dxa" w:w="1483"/>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7,99 : 1</w:t>
            </w:r>
          </w:p>
        </w:tc>
        <w:tc>
          <w:tcPr>
            <w:tcW w:type="dxa" w:w="370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AAA</w:t>
            </w:r>
          </w:p>
        </w:tc>
      </w:tr>
      <w:tr>
        <w:trPr>
          <w:cantSplit/>
        </w:trPr>
        <w:tc>
          <w:tcPr>
            <w:tcW w:type="dxa" w:w="222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Emerald Green</w:t>
            </w:r>
          </w:p>
        </w:tc>
        <w:tc>
          <w:tcPr>
            <w:tcW w:type="dxa" w:w="222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Deep Navy</w:t>
            </w:r>
          </w:p>
        </w:tc>
        <w:tc>
          <w:tcPr>
            <w:tcW w:type="dxa" w:w="1483"/>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5,35 : 1</w:t>
            </w:r>
          </w:p>
        </w:tc>
        <w:tc>
          <w:tcPr>
            <w:tcW w:type="dxa" w:w="370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AA</w:t>
            </w:r>
          </w:p>
        </w:tc>
      </w:tr>
      <w:tr>
        <w:trPr>
          <w:cantSplit/>
        </w:trPr>
        <w:tc>
          <w:tcPr>
            <w:tcW w:type="dxa" w:w="222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Deep Navy</w:t>
            </w:r>
          </w:p>
        </w:tc>
        <w:tc>
          <w:tcPr>
            <w:tcW w:type="dxa" w:w="222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Emerald Green</w:t>
            </w:r>
          </w:p>
        </w:tc>
        <w:tc>
          <w:tcPr>
            <w:tcW w:type="dxa" w:w="1483"/>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5,35 : 1</w:t>
            </w:r>
          </w:p>
        </w:tc>
        <w:tc>
          <w:tcPr>
            <w:tcW w:type="dxa" w:w="370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AA</w:t>
            </w:r>
          </w:p>
        </w:tc>
      </w:tr>
      <w:tr>
        <w:trPr>
          <w:cantSplit/>
        </w:trPr>
        <w:tc>
          <w:tcPr>
            <w:tcW w:type="dxa" w:w="222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White</w:t>
            </w:r>
          </w:p>
        </w:tc>
        <w:tc>
          <w:tcPr>
            <w:tcW w:type="dxa" w:w="222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Emerald Green</w:t>
            </w:r>
          </w:p>
        </w:tc>
        <w:tc>
          <w:tcPr>
            <w:tcW w:type="dxa" w:w="1483"/>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3,13 : 1</w:t>
            </w:r>
          </w:p>
        </w:tc>
        <w:tc>
          <w:tcPr>
            <w:tcW w:type="dxa" w:w="370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AA grand texte (≥ 18 pt ou 14 pt gras)</w:t>
            </w:r>
          </w:p>
        </w:tc>
      </w:tr>
      <w:tr>
        <w:trPr>
          <w:cantSplit/>
        </w:trPr>
        <w:tc>
          <w:tcPr>
            <w:tcW w:type="dxa" w:w="222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Graphite</w:t>
            </w:r>
          </w:p>
        </w:tc>
        <w:tc>
          <w:tcPr>
            <w:tcW w:type="dxa" w:w="222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White</w:t>
            </w:r>
          </w:p>
        </w:tc>
        <w:tc>
          <w:tcPr>
            <w:tcW w:type="dxa" w:w="1483"/>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16,67 : 1</w:t>
            </w:r>
          </w:p>
        </w:tc>
        <w:tc>
          <w:tcPr>
            <w:tcW w:type="dxa" w:w="370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AAA</w:t>
            </w:r>
          </w:p>
        </w:tc>
      </w:tr>
      <w:tr>
        <w:trPr>
          <w:cantSplit/>
        </w:trPr>
        <w:tc>
          <w:tcPr>
            <w:tcW w:type="dxa" w:w="222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Graphite</w:t>
            </w:r>
          </w:p>
        </w:tc>
        <w:tc>
          <w:tcPr>
            <w:tcW w:type="dxa" w:w="222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Light Gray</w:t>
            </w:r>
          </w:p>
        </w:tc>
        <w:tc>
          <w:tcPr>
            <w:tcW w:type="dxa" w:w="1483"/>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15,13 : 1</w:t>
            </w:r>
          </w:p>
        </w:tc>
        <w:tc>
          <w:tcPr>
            <w:tcW w:type="dxa" w:w="370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AAA</w:t>
            </w:r>
          </w:p>
        </w:tc>
      </w:tr>
      <w:tr>
        <w:trPr>
          <w:cantSplit/>
        </w:trPr>
        <w:tc>
          <w:tcPr>
            <w:tcW w:type="dxa" w:w="222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Deep Navy</w:t>
            </w:r>
          </w:p>
        </w:tc>
        <w:tc>
          <w:tcPr>
            <w:tcW w:type="dxa" w:w="222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White</w:t>
            </w:r>
          </w:p>
        </w:tc>
        <w:tc>
          <w:tcPr>
            <w:tcW w:type="dxa" w:w="1483"/>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16,72 : 1</w:t>
            </w:r>
          </w:p>
        </w:tc>
        <w:tc>
          <w:tcPr>
            <w:tcW w:type="dxa" w:w="370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AAA</w:t>
            </w:r>
          </w:p>
        </w:tc>
      </w:tr>
      <w:tr>
        <w:trPr>
          <w:cantSplit/>
        </w:trPr>
        <w:tc>
          <w:tcPr>
            <w:tcW w:type="dxa" w:w="222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Deep Navy</w:t>
            </w:r>
          </w:p>
        </w:tc>
        <w:tc>
          <w:tcPr>
            <w:tcW w:type="dxa" w:w="222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Light Gray</w:t>
            </w:r>
          </w:p>
        </w:tc>
        <w:tc>
          <w:tcPr>
            <w:tcW w:type="dxa" w:w="1483"/>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15,17 : 1</w:t>
            </w:r>
          </w:p>
        </w:tc>
        <w:tc>
          <w:tcPr>
            <w:tcW w:type="dxa" w:w="370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AAA</w:t>
            </w:r>
          </w:p>
        </w:tc>
      </w:tr>
      <w:tr>
        <w:trPr>
          <w:cantSplit/>
        </w:trPr>
        <w:tc>
          <w:tcPr>
            <w:tcW w:type="dxa" w:w="222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Emerald Green</w:t>
            </w:r>
          </w:p>
        </w:tc>
        <w:tc>
          <w:tcPr>
            <w:tcW w:type="dxa" w:w="222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White</w:t>
            </w:r>
          </w:p>
        </w:tc>
        <w:tc>
          <w:tcPr>
            <w:tcW w:type="dxa" w:w="1483"/>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3,13 : 1</w:t>
            </w:r>
          </w:p>
        </w:tc>
        <w:tc>
          <w:tcPr>
            <w:tcW w:type="dxa" w:w="370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AA grand texte (≥ 18 pt ou 14 pt gras)</w:t>
            </w:r>
          </w:p>
        </w:tc>
      </w:tr>
      <w:tr>
        <w:trPr>
          <w:cantSplit/>
        </w:trPr>
        <w:tc>
          <w:tcPr>
            <w:tcW w:type="dxa" w:w="222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Emerald Green</w:t>
            </w:r>
          </w:p>
        </w:tc>
        <w:tc>
          <w:tcPr>
            <w:tcW w:type="dxa" w:w="222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Light Gray</w:t>
            </w:r>
          </w:p>
        </w:tc>
        <w:tc>
          <w:tcPr>
            <w:tcW w:type="dxa" w:w="1483"/>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2,84 : 1</w:t>
            </w:r>
          </w:p>
        </w:tc>
        <w:tc>
          <w:tcPr>
            <w:tcW w:type="dxa" w:w="370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Insuffisant</w:t>
            </w:r>
          </w:p>
        </w:tc>
      </w:tr>
      <w:tr>
        <w:trPr>
          <w:cantSplit/>
        </w:trPr>
        <w:tc>
          <w:tcPr>
            <w:tcW w:type="dxa" w:w="222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Gris secondaire</w:t>
            </w:r>
          </w:p>
        </w:tc>
        <w:tc>
          <w:tcPr>
            <w:tcW w:type="dxa" w:w="222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White</w:t>
            </w:r>
          </w:p>
        </w:tc>
        <w:tc>
          <w:tcPr>
            <w:tcW w:type="dxa" w:w="1483"/>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6,10 : 1</w:t>
            </w:r>
          </w:p>
        </w:tc>
        <w:tc>
          <w:tcPr>
            <w:tcW w:type="dxa" w:w="370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AA</w:t>
            </w:r>
          </w:p>
        </w:tc>
      </w:tr>
      <w:tr>
        <w:trPr>
          <w:cantSplit/>
        </w:trPr>
        <w:tc>
          <w:tcPr>
            <w:tcW w:type="dxa" w:w="222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Gris secondaire</w:t>
            </w:r>
          </w:p>
        </w:tc>
        <w:tc>
          <w:tcPr>
            <w:tcW w:type="dxa" w:w="222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Light Gray</w:t>
            </w:r>
          </w:p>
        </w:tc>
        <w:tc>
          <w:tcPr>
            <w:tcW w:type="dxa" w:w="1483"/>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5,54 : 1</w:t>
            </w:r>
          </w:p>
        </w:tc>
        <w:tc>
          <w:tcPr>
            <w:tcW w:type="dxa" w:w="370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AA</w:t>
            </w:r>
          </w:p>
        </w:tc>
      </w:tr>
    </w:tbl>
    <w:p>
      <w:pPr>
        <w:pStyle w:val="TTGNote"/>
      </w:pPr>
      <w:r>
        <w:rPr>
          <w:rFonts w:ascii="Montserrat" w:cs="Montserrat" w:eastAsia="Montserrat" w:hAnsi="Montserrat"/>
          <w:color w:val="626262"/>
          <w:sz w:val="15"/>
          <w:szCs w:val="15"/>
        </w:rPr>
        <w:t xml:space="preserve">Conséquence : sur Emerald Green, le texte d’un bouton est en </w:t>
      </w:r>
      <w:r>
        <w:rPr>
          <w:rFonts w:ascii="Montserrat" w:cs="Montserrat" w:eastAsia="Montserrat" w:hAnsi="Montserrat"/>
          <w:b/>
          <w:bCs/>
          <w:color w:val="626262"/>
          <w:sz w:val="15"/>
          <w:szCs w:val="15"/>
        </w:rPr>
        <w:t xml:space="preserve">Deep Navy</w:t>
      </w:r>
      <w:r>
        <w:rPr>
          <w:rFonts w:ascii="Montserrat" w:cs="Montserrat" w:eastAsia="Montserrat" w:hAnsi="Montserrat"/>
          <w:color w:val="626262"/>
          <w:sz w:val="15"/>
          <w:szCs w:val="15"/>
        </w:rPr>
        <w:t xml:space="preserve"> (5,35 : 1) ; le blanc (3,13 : 1) est réservé aux grands textes. Emerald Green en texte sur fond blanc n’est utilisé que pour des éléments de grande taille ou décoratifs.</w:t>
      </w:r>
    </w:p>
    <w:p>
      <w:pPr>
        <w:pStyle w:val="Heading2"/>
      </w:pPr>
      <w:r>
        <w:rPr>
          <w:rFonts w:ascii="Montserrat" w:cs="Montserrat" w:eastAsia="Montserrat" w:hAnsi="Montserrat"/>
          <w:b/>
          <w:bCs/>
          <w:color w:val="0A1D3D"/>
          <w:sz w:val="24"/>
          <w:szCs w:val="24"/>
        </w:rPr>
        <w:t xml:space="preserve">C.6  Règles d’usage</w:t>
      </w:r>
    </w:p>
    <w:p>
      <w:pPr>
        <w:pStyle w:val="ListParagraph"/>
        <w:numPr>
          <w:ilvl w:val="0"/>
          <w:numId w:val="2"/>
        </w:numPr>
        <w:spacing w:after="70"/>
      </w:pPr>
      <w:r>
        <w:rPr>
          <w:rFonts w:ascii="Montserrat" w:cs="Montserrat" w:eastAsia="Montserrat" w:hAnsi="Montserrat"/>
          <w:b/>
          <w:bCs/>
          <w:color w:val="1E1E1E"/>
          <w:sz w:val="19"/>
          <w:szCs w:val="19"/>
        </w:rPr>
        <w:t xml:space="preserve">Aucune autre couleur</w:t>
      </w:r>
      <w:r>
        <w:rPr>
          <w:rFonts w:ascii="Montserrat" w:cs="Montserrat" w:eastAsia="Montserrat" w:hAnsi="Montserrat"/>
          <w:color w:val="1E1E1E"/>
          <w:sz w:val="19"/>
          <w:szCs w:val="19"/>
        </w:rPr>
        <w:t xml:space="preserve"> que les cinq couleurs, leurs tons dérivés du § C.4 et, pour les seuls intitulés de sous-marques, les teintes du § A.4.</w:t>
      </w:r>
    </w:p>
    <w:p>
      <w:pPr>
        <w:pStyle w:val="ListParagraph"/>
        <w:numPr>
          <w:ilvl w:val="0"/>
          <w:numId w:val="2"/>
        </w:numPr>
        <w:spacing w:after="70"/>
      </w:pPr>
      <w:r>
        <w:rPr>
          <w:rFonts w:ascii="Montserrat" w:cs="Montserrat" w:eastAsia="Montserrat" w:hAnsi="Montserrat"/>
          <w:color w:val="1E1E1E"/>
          <w:sz w:val="19"/>
          <w:szCs w:val="19"/>
        </w:rPr>
        <w:t xml:space="preserve">Fonds sombres : Deep Navy uniquement ; jamais de noir pur ni de dégradé.</w:t>
      </w:r>
    </w:p>
    <w:p>
      <w:pPr>
        <w:pStyle w:val="ListParagraph"/>
        <w:numPr>
          <w:ilvl w:val="0"/>
          <w:numId w:val="2"/>
        </w:numPr>
        <w:spacing w:after="70"/>
      </w:pPr>
      <w:r>
        <w:rPr>
          <w:rFonts w:ascii="Montserrat" w:cs="Montserrat" w:eastAsia="Montserrat" w:hAnsi="Montserrat"/>
          <w:color w:val="1E1E1E"/>
          <w:sz w:val="19"/>
          <w:szCs w:val="19"/>
        </w:rPr>
        <w:t xml:space="preserve">Texte courant : Graphite sur fond clair, White ou Light Gray sur Deep Navy.</w:t>
      </w:r>
    </w:p>
    <w:p>
      <w:pPr>
        <w:pStyle w:val="ListParagraph"/>
        <w:numPr>
          <w:ilvl w:val="0"/>
          <w:numId w:val="2"/>
        </w:numPr>
        <w:spacing w:after="70"/>
      </w:pPr>
      <w:r>
        <w:rPr>
          <w:rFonts w:ascii="Montserrat" w:cs="Montserrat" w:eastAsia="Montserrat" w:hAnsi="Montserrat"/>
          <w:color w:val="1E1E1E"/>
          <w:sz w:val="19"/>
          <w:szCs w:val="19"/>
        </w:rPr>
        <w:t xml:space="preserve">Emerald Green : accent ponctuel (≈ une zone d’accent par page ou écran).</w:t>
      </w:r>
    </w:p>
    <w:p>
      <w:pPr>
        <w:pStyle w:val="ListParagraph"/>
        <w:numPr>
          <w:ilvl w:val="0"/>
          <w:numId w:val="2"/>
        </w:numPr>
        <w:spacing w:after="70"/>
      </w:pPr>
      <w:r>
        <w:rPr>
          <w:rFonts w:ascii="Montserrat" w:cs="Montserrat" w:eastAsia="Montserrat" w:hAnsi="Montserrat"/>
          <w:color w:val="1E1E1E"/>
          <w:sz w:val="19"/>
          <w:szCs w:val="19"/>
        </w:rPr>
        <w:t xml:space="preserve">Impression : Deep Navy ≈ 270 % d’encrage total (100 + 85 + 30 + 55) ; ne pas dépasser 300 % ; ne pas utiliser de noir riche pour le texte (Graphite = noir 90 %).</w:t>
      </w:r>
    </w:p>
    <w:p>
      <w:pPr>
        <w:pStyle w:val="Heading1"/>
        <w:pageBreakBefore/>
      </w:pPr>
      <w:r>
        <w:rPr>
          <w:rFonts w:ascii="Montserrat" w:cs="Montserrat" w:eastAsia="Montserrat" w:hAnsi="Montserrat"/>
          <w:b/>
          <w:bCs/>
          <w:color w:val="0A1D3D"/>
          <w:sz w:val="34"/>
          <w:szCs w:val="34"/>
        </w:rPr>
        <w:t xml:space="preserve">D — Typographie</w:t>
      </w:r>
    </w:p>
    <w:p>
      <w:pPr>
        <w:pStyle w:val="Heading2"/>
      </w:pPr>
      <w:r>
        <w:rPr>
          <w:rFonts w:ascii="Montserrat" w:cs="Montserrat" w:eastAsia="Montserrat" w:hAnsi="Montserrat"/>
          <w:b/>
          <w:bCs/>
          <w:color w:val="0A1D3D"/>
          <w:sz w:val="24"/>
          <w:szCs w:val="24"/>
        </w:rPr>
        <w:t xml:space="preserve">D.1  Famille Montserrat</w:t>
      </w:r>
    </w:p>
    <w:p>
      <w:pPr>
        <w:pStyle w:val="TTGCorps"/>
      </w:pPr>
      <w:r>
        <w:rPr>
          <w:rFonts w:ascii="Montserrat" w:cs="Montserrat" w:eastAsia="Montserrat" w:hAnsi="Montserrat"/>
          <w:color w:val="1E1E1E"/>
          <w:sz w:val="19"/>
          <w:szCs w:val="19"/>
        </w:rPr>
        <w:t xml:space="preserve">La famille typographique de référence est </w:t>
      </w:r>
      <w:r>
        <w:rPr>
          <w:rFonts w:ascii="Montserrat" w:cs="Montserrat" w:eastAsia="Montserrat" w:hAnsi="Montserrat"/>
          <w:b/>
          <w:bCs/>
          <w:color w:val="1E1E1E"/>
          <w:sz w:val="19"/>
          <w:szCs w:val="19"/>
        </w:rPr>
        <w:t xml:space="preserve">Montserrat</w:t>
      </w:r>
      <w:r>
        <w:rPr>
          <w:rFonts w:ascii="Montserrat" w:cs="Montserrat" w:eastAsia="Montserrat" w:hAnsi="Montserrat"/>
          <w:color w:val="1E1E1E"/>
          <w:sz w:val="19"/>
          <w:szCs w:val="19"/>
        </w:rPr>
        <w:t xml:space="preserve"> (sans empattement), présentée sur la planche avec six graisses : </w:t>
      </w:r>
      <w:r>
        <w:rPr>
          <w:rFonts w:ascii="Montserrat" w:cs="Montserrat" w:eastAsia="Montserrat" w:hAnsi="Montserrat"/>
          <w:b/>
          <w:bCs/>
          <w:color w:val="1E1E1E"/>
          <w:sz w:val="19"/>
          <w:szCs w:val="19"/>
        </w:rPr>
        <w:t xml:space="preserve">ExtraBold, Bold, SemiBold, Medium, Regular, Light</w:t>
      </w:r>
      <w:r>
        <w:rPr>
          <w:rFonts w:ascii="Montserrat" w:cs="Montserrat" w:eastAsia="Montserrat" w:hAnsi="Montserrat"/>
          <w:color w:val="1E1E1E"/>
          <w:sz w:val="19"/>
          <w:szCs w:val="19"/>
        </w:rPr>
        <w:t xml:space="preserve">. Montserrat est distribuée sous licence </w:t>
      </w:r>
      <w:r>
        <w:rPr>
          <w:rFonts w:ascii="Montserrat" w:cs="Montserrat" w:eastAsia="Montserrat" w:hAnsi="Montserrat"/>
          <w:b/>
          <w:bCs/>
          <w:color w:val="1E1E1E"/>
          <w:sz w:val="19"/>
          <w:szCs w:val="19"/>
        </w:rPr>
        <w:t xml:space="preserve">SIL Open Font License</w:t>
      </w:r>
      <w:r>
        <w:rPr>
          <w:rFonts w:ascii="Montserrat" w:cs="Montserrat" w:eastAsia="Montserrat" w:hAnsi="Montserrat"/>
          <w:color w:val="1E1E1E"/>
          <w:sz w:val="19"/>
          <w:szCs w:val="19"/>
        </w:rPr>
        <w:t xml:space="preserve"> : usage, intégration et redistribution libres. Les fichiers (Montserrat-*.ttf, version 9.000) sont fournis dans chaque dossier du kit, à installer avant d’ouvrir les fichiers modifiables.</w:t>
      </w:r>
    </w:p>
    <w:p>
      <w:pPr>
        <w:keepNext/>
        <w:spacing w:after="60" w:before="120"/>
        <w:jc w:val="center"/>
      </w:pPr>
      <w:r>
        <w:drawing>
          <wp:inline distT="0" distB="0" distL="0" distR="0">
            <wp:extent cx="6124575" cy="4514850"/>
            <wp:effectExtent t="0" r="0" b="0" l="0"/>
            <wp:docPr id="1" name="05_typographie.png" descr="Montserrat : six graisses et hiérarchie type des supports du kit." title="Montserrat : six graisses et hiérarchie type des supports du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24575" cy="4514850"/>
                    </a:xfrm>
                    <a:prstGeom prst="rect">
                      <a:avLst/>
                    </a:prstGeom>
                  </pic:spPr>
                </pic:pic>
              </a:graphicData>
            </a:graphic>
          </wp:inline>
        </w:drawing>
      </w:r>
    </w:p>
    <w:p>
      <w:pPr>
        <w:spacing w:after="200"/>
        <w:jc w:val="center"/>
      </w:pPr>
      <w:r>
        <w:rPr>
          <w:rFonts w:ascii="Montserrat" w:cs="Montserrat" w:eastAsia="Montserrat" w:hAnsi="Montserrat"/>
          <w:color w:val="626262"/>
          <w:sz w:val="15"/>
          <w:szCs w:val="15"/>
        </w:rPr>
        <w:t xml:space="preserve">Montserrat : six graisses et hiérarchie type des supports du kit.</w:t>
      </w:r>
    </w:p>
    <w:p>
      <w:pPr>
        <w:pStyle w:val="Heading2"/>
      </w:pPr>
      <w:r>
        <w:rPr>
          <w:rFonts w:ascii="Montserrat" w:cs="Montserrat" w:eastAsia="Montserrat" w:hAnsi="Montserrat"/>
          <w:b/>
          <w:bCs/>
          <w:color w:val="0A1D3D"/>
          <w:sz w:val="24"/>
          <w:szCs w:val="24"/>
        </w:rPr>
        <w:t xml:space="preserve">D.2  Hiérarchie des textes</w:t>
      </w:r>
    </w:p>
    <w:p>
      <w:pPr>
        <w:pStyle w:val="TTGCorps"/>
      </w:pPr>
      <w:r>
        <w:rPr>
          <w:rFonts w:ascii="Montserrat" w:cs="Montserrat" w:eastAsia="Montserrat" w:hAnsi="Montserrat"/>
          <w:color w:val="1E1E1E"/>
          <w:sz w:val="19"/>
          <w:szCs w:val="19"/>
        </w:rPr>
        <w:t xml:space="preserve">La planche ne chiffre pas les tailles ; la hiérarchie ci-dessous est celle appliquée de façon constante dans les supports du kit (</w:t>
      </w:r>
      <w:r>
        <w:rPr>
          <w:rFonts w:ascii="Montserrat" w:cs="Montserrat" w:eastAsia="Montserrat" w:hAnsi="Montserrat"/>
          <w:b/>
          <w:bCs/>
          <w:color w:val="1E1E1E"/>
          <w:sz w:val="19"/>
          <w:szCs w:val="19"/>
        </w:rPr>
        <w:t xml:space="preserve">dérivée</w:t>
      </w:r>
      <w:r>
        <w:rPr>
          <w:rFonts w:ascii="Montserrat" w:cs="Montserrat" w:eastAsia="Montserrat" w:hAnsi="Montserrat"/>
          <w:color w:val="1E1E1E"/>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9"/>
        <w:gridCol w:w="1657"/>
        <w:gridCol w:w="1506"/>
        <w:gridCol w:w="1054"/>
        <w:gridCol w:w="2259"/>
        <w:gridCol w:w="903"/>
      </w:tblGrid>
      <w:tr>
        <w:trPr>
          <w:cantSplit/>
          <w:tblHeader/>
        </w:trPr>
        <w:tc>
          <w:tcPr>
            <w:tcW w:type="dxa" w:w="2259"/>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Niveau</w:t>
            </w:r>
          </w:p>
        </w:tc>
        <w:tc>
          <w:tcPr>
            <w:tcW w:type="dxa" w:w="1657"/>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Graisse</w:t>
            </w:r>
          </w:p>
        </w:tc>
        <w:tc>
          <w:tcPr>
            <w:tcW w:type="dxa" w:w="1506"/>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Documents (pt)</w:t>
            </w:r>
          </w:p>
        </w:tc>
        <w:tc>
          <w:tcPr>
            <w:tcW w:type="dxa" w:w="1054"/>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Écran (px)</w:t>
            </w:r>
          </w:p>
        </w:tc>
        <w:tc>
          <w:tcPr>
            <w:tcW w:type="dxa" w:w="2259"/>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Couleur</w:t>
            </w:r>
          </w:p>
        </w:tc>
        <w:tc>
          <w:tcPr>
            <w:tcW w:type="dxa" w:w="903"/>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Statut</w:t>
            </w:r>
          </w:p>
        </w:tc>
      </w:tr>
      <w:tr>
        <w:trPr>
          <w:cantSplit/>
        </w:trPr>
        <w:tc>
          <w:tcPr>
            <w:tcW w:type="dxa" w:w="2259"/>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Titre de couverture</w:t>
            </w:r>
          </w:p>
        </w:tc>
        <w:tc>
          <w:tcPr>
            <w:tcW w:type="dxa" w:w="165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Bold / ExtraBold</w:t>
            </w:r>
          </w:p>
        </w:tc>
        <w:tc>
          <w:tcPr>
            <w:tcW w:type="dxa" w:w="1506"/>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31</w:t>
            </w:r>
          </w:p>
        </w:tc>
        <w:tc>
          <w:tcPr>
            <w:tcW w:type="dxa" w:w="105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56–76</w:t>
            </w:r>
          </w:p>
        </w:tc>
        <w:tc>
          <w:tcPr>
            <w:tcW w:type="dxa" w:w="2259"/>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White sur Deep Navy</w:t>
            </w:r>
          </w:p>
        </w:tc>
        <w:tc>
          <w:tcPr>
            <w:tcW w:type="dxa" w:w="903"/>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2259"/>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Titre 1</w:t>
            </w:r>
          </w:p>
        </w:tc>
        <w:tc>
          <w:tcPr>
            <w:tcW w:type="dxa" w:w="165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Bold</w:t>
            </w:r>
          </w:p>
        </w:tc>
        <w:tc>
          <w:tcPr>
            <w:tcW w:type="dxa" w:w="1506"/>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17</w:t>
            </w:r>
          </w:p>
        </w:tc>
        <w:tc>
          <w:tcPr>
            <w:tcW w:type="dxa" w:w="105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36–44</w:t>
            </w:r>
          </w:p>
        </w:tc>
        <w:tc>
          <w:tcPr>
            <w:tcW w:type="dxa" w:w="2259"/>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Deep Navy</w:t>
            </w:r>
          </w:p>
        </w:tc>
        <w:tc>
          <w:tcPr>
            <w:tcW w:type="dxa" w:w="903"/>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2259"/>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Titre 2</w:t>
            </w:r>
          </w:p>
        </w:tc>
        <w:tc>
          <w:tcPr>
            <w:tcW w:type="dxa" w:w="165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Bold</w:t>
            </w:r>
          </w:p>
        </w:tc>
        <w:tc>
          <w:tcPr>
            <w:tcW w:type="dxa" w:w="1506"/>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12</w:t>
            </w:r>
          </w:p>
        </w:tc>
        <w:tc>
          <w:tcPr>
            <w:tcW w:type="dxa" w:w="105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24–30</w:t>
            </w:r>
          </w:p>
        </w:tc>
        <w:tc>
          <w:tcPr>
            <w:tcW w:type="dxa" w:w="2259"/>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Deep Navy</w:t>
            </w:r>
          </w:p>
        </w:tc>
        <w:tc>
          <w:tcPr>
            <w:tcW w:type="dxa" w:w="903"/>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2259"/>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Titre 3 / étiquette</w:t>
            </w:r>
          </w:p>
        </w:tc>
        <w:tc>
          <w:tcPr>
            <w:tcW w:type="dxa" w:w="165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Bold / SemiBold</w:t>
            </w:r>
          </w:p>
        </w:tc>
        <w:tc>
          <w:tcPr>
            <w:tcW w:type="dxa" w:w="1506"/>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10</w:t>
            </w:r>
          </w:p>
        </w:tc>
        <w:tc>
          <w:tcPr>
            <w:tcW w:type="dxa" w:w="105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16–22</w:t>
            </w:r>
          </w:p>
        </w:tc>
        <w:tc>
          <w:tcPr>
            <w:tcW w:type="dxa" w:w="2259"/>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Emerald Green</w:t>
            </w:r>
          </w:p>
        </w:tc>
        <w:tc>
          <w:tcPr>
            <w:tcW w:type="dxa" w:w="903"/>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2259"/>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Texte courant</w:t>
            </w:r>
          </w:p>
        </w:tc>
        <w:tc>
          <w:tcPr>
            <w:tcW w:type="dxa" w:w="165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Regular</w:t>
            </w:r>
          </w:p>
        </w:tc>
        <w:tc>
          <w:tcPr>
            <w:tcW w:type="dxa" w:w="1506"/>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9,5 (interligne 1,3)</w:t>
            </w:r>
          </w:p>
        </w:tc>
        <w:tc>
          <w:tcPr>
            <w:tcW w:type="dxa" w:w="105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16–18</w:t>
            </w:r>
          </w:p>
        </w:tc>
        <w:tc>
          <w:tcPr>
            <w:tcW w:type="dxa" w:w="2259"/>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Graphite</w:t>
            </w:r>
          </w:p>
        </w:tc>
        <w:tc>
          <w:tcPr>
            <w:tcW w:type="dxa" w:w="903"/>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2259"/>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Texte d’appui</w:t>
            </w:r>
          </w:p>
        </w:tc>
        <w:tc>
          <w:tcPr>
            <w:tcW w:type="dxa" w:w="165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Medium</w:t>
            </w:r>
          </w:p>
        </w:tc>
        <w:tc>
          <w:tcPr>
            <w:tcW w:type="dxa" w:w="1506"/>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7,5–9</w:t>
            </w:r>
          </w:p>
        </w:tc>
        <w:tc>
          <w:tcPr>
            <w:tcW w:type="dxa" w:w="105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22–32</w:t>
            </w:r>
          </w:p>
        </w:tc>
        <w:tc>
          <w:tcPr>
            <w:tcW w:type="dxa" w:w="2259"/>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Texte atténué ou Graphite</w:t>
            </w:r>
          </w:p>
        </w:tc>
        <w:tc>
          <w:tcPr>
            <w:tcW w:type="dxa" w:w="903"/>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2259"/>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Légende, note</w:t>
            </w:r>
          </w:p>
        </w:tc>
        <w:tc>
          <w:tcPr>
            <w:tcW w:type="dxa" w:w="165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Regular</w:t>
            </w:r>
          </w:p>
        </w:tc>
        <w:tc>
          <w:tcPr>
            <w:tcW w:type="dxa" w:w="1506"/>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7,5</w:t>
            </w:r>
          </w:p>
        </w:tc>
        <w:tc>
          <w:tcPr>
            <w:tcW w:type="dxa" w:w="105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13</w:t>
            </w:r>
          </w:p>
        </w:tc>
        <w:tc>
          <w:tcPr>
            <w:tcW w:type="dxa" w:w="2259"/>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Texte atténué ou gris 626262</w:t>
            </w:r>
          </w:p>
        </w:tc>
        <w:tc>
          <w:tcPr>
            <w:tcW w:type="dxa" w:w="903"/>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2259"/>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Slogan</w:t>
            </w:r>
          </w:p>
        </w:tc>
        <w:tc>
          <w:tcPr>
            <w:tcW w:type="dxa" w:w="165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Medium, capitales, ≈ 0,18 em</w:t>
            </w:r>
          </w:p>
        </w:tc>
        <w:tc>
          <w:tcPr>
            <w:tcW w:type="dxa" w:w="1506"/>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6–10</w:t>
            </w:r>
          </w:p>
        </w:tc>
        <w:tc>
          <w:tcPr>
            <w:tcW w:type="dxa" w:w="105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13–24</w:t>
            </w:r>
          </w:p>
        </w:tc>
        <w:tc>
          <w:tcPr>
            <w:tcW w:type="dxa" w:w="2259"/>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Deep Navy / White + Emerald</w:t>
            </w:r>
          </w:p>
        </w:tc>
        <w:tc>
          <w:tcPr>
            <w:tcW w:type="dxa" w:w="903"/>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A1D3D"/>
                <w:sz w:val="16"/>
                <w:szCs w:val="16"/>
              </w:rPr>
              <w:t xml:space="preserve">Mesuré</w:t>
            </w:r>
          </w:p>
        </w:tc>
      </w:tr>
      <w:tr>
        <w:trPr>
          <w:cantSplit/>
        </w:trPr>
        <w:tc>
          <w:tcPr>
            <w:tcW w:type="dxa" w:w="2259"/>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Carte : nom / fonction / coordonnées</w:t>
            </w:r>
          </w:p>
        </w:tc>
        <w:tc>
          <w:tcPr>
            <w:tcW w:type="dxa" w:w="165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Bold / Medium / Regular</w:t>
            </w:r>
          </w:p>
        </w:tc>
        <w:tc>
          <w:tcPr>
            <w:tcW w:type="dxa" w:w="1506"/>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9,5 / 7 / 7,3</w:t>
            </w:r>
          </w:p>
        </w:tc>
        <w:tc>
          <w:tcPr>
            <w:tcW w:type="dxa" w:w="105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w:t>
            </w:r>
          </w:p>
        </w:tc>
        <w:tc>
          <w:tcPr>
            <w:tcW w:type="dxa" w:w="2259"/>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White / texte atténué</w:t>
            </w:r>
          </w:p>
        </w:tc>
        <w:tc>
          <w:tcPr>
            <w:tcW w:type="dxa" w:w="903"/>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2259"/>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Badge : nom / fonction / service</w:t>
            </w:r>
          </w:p>
        </w:tc>
        <w:tc>
          <w:tcPr>
            <w:tcW w:type="dxa" w:w="165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Bold / Medium / Regular</w:t>
            </w:r>
          </w:p>
        </w:tc>
        <w:tc>
          <w:tcPr>
            <w:tcW w:type="dxa" w:w="1506"/>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10,5 / 7,5 / 7</w:t>
            </w:r>
          </w:p>
        </w:tc>
        <w:tc>
          <w:tcPr>
            <w:tcW w:type="dxa" w:w="105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w:t>
            </w:r>
          </w:p>
        </w:tc>
        <w:tc>
          <w:tcPr>
            <w:tcW w:type="dxa" w:w="2259"/>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White / texte atténué / Emerald</w:t>
            </w:r>
          </w:p>
        </w:tc>
        <w:tc>
          <w:tcPr>
            <w:tcW w:type="dxa" w:w="903"/>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bl>
    <w:p>
      <w:pPr>
        <w:pStyle w:val="Heading2"/>
      </w:pPr>
      <w:r>
        <w:rPr>
          <w:rFonts w:ascii="Montserrat" w:cs="Montserrat" w:eastAsia="Montserrat" w:hAnsi="Montserrat"/>
          <w:b/>
          <w:bCs/>
          <w:color w:val="0A1D3D"/>
          <w:sz w:val="24"/>
          <w:szCs w:val="24"/>
        </w:rPr>
        <w:t xml:space="preserve">D.3  Principes d’utilisation</w:t>
      </w:r>
    </w:p>
    <w:p>
      <w:pPr>
        <w:pStyle w:val="ListParagraph"/>
        <w:numPr>
          <w:ilvl w:val="0"/>
          <w:numId w:val="2"/>
        </w:numPr>
        <w:spacing w:after="70"/>
      </w:pPr>
      <w:r>
        <w:rPr>
          <w:rFonts w:ascii="Montserrat" w:cs="Montserrat" w:eastAsia="Montserrat" w:hAnsi="Montserrat"/>
          <w:color w:val="1E1E1E"/>
          <w:sz w:val="19"/>
          <w:szCs w:val="19"/>
        </w:rPr>
        <w:t xml:space="preserve">Une seule famille : </w:t>
      </w:r>
      <w:r>
        <w:rPr>
          <w:rFonts w:ascii="Montserrat" w:cs="Montserrat" w:eastAsia="Montserrat" w:hAnsi="Montserrat"/>
          <w:b/>
          <w:bCs/>
          <w:color w:val="1E1E1E"/>
          <w:sz w:val="19"/>
          <w:szCs w:val="19"/>
        </w:rPr>
        <w:t xml:space="preserve">Montserrat</w:t>
      </w:r>
      <w:r>
        <w:rPr>
          <w:rFonts w:ascii="Montserrat" w:cs="Montserrat" w:eastAsia="Montserrat" w:hAnsi="Montserrat"/>
          <w:color w:val="1E1E1E"/>
          <w:sz w:val="19"/>
          <w:szCs w:val="19"/>
        </w:rPr>
        <w:t xml:space="preserve">. Aucune police de substitution silencieuse. Si Montserrat est absente, le fichier le signale ; repli de dernier recours dans les e-mails : Arial.</w:t>
      </w:r>
    </w:p>
    <w:p>
      <w:pPr>
        <w:pStyle w:val="ListParagraph"/>
        <w:numPr>
          <w:ilvl w:val="0"/>
          <w:numId w:val="2"/>
        </w:numPr>
        <w:spacing w:after="70"/>
      </w:pPr>
      <w:r>
        <w:rPr>
          <w:rFonts w:ascii="Montserrat" w:cs="Montserrat" w:eastAsia="Montserrat" w:hAnsi="Montserrat"/>
          <w:color w:val="1E1E1E"/>
          <w:sz w:val="19"/>
          <w:szCs w:val="19"/>
        </w:rPr>
        <w:t xml:space="preserve">Hiérarchie par la </w:t>
      </w:r>
      <w:r>
        <w:rPr>
          <w:rFonts w:ascii="Montserrat" w:cs="Montserrat" w:eastAsia="Montserrat" w:hAnsi="Montserrat"/>
          <w:b/>
          <w:bCs/>
          <w:color w:val="1E1E1E"/>
          <w:sz w:val="19"/>
          <w:szCs w:val="19"/>
        </w:rPr>
        <w:t xml:space="preserve">graisse</w:t>
      </w:r>
      <w:r>
        <w:rPr>
          <w:rFonts w:ascii="Montserrat" w:cs="Montserrat" w:eastAsia="Montserrat" w:hAnsi="Montserrat"/>
          <w:color w:val="1E1E1E"/>
          <w:sz w:val="19"/>
          <w:szCs w:val="19"/>
        </w:rPr>
        <w:t xml:space="preserve"> et la </w:t>
      </w:r>
      <w:r>
        <w:rPr>
          <w:rFonts w:ascii="Montserrat" w:cs="Montserrat" w:eastAsia="Montserrat" w:hAnsi="Montserrat"/>
          <w:b/>
          <w:bCs/>
          <w:color w:val="1E1E1E"/>
          <w:sz w:val="19"/>
          <w:szCs w:val="19"/>
        </w:rPr>
        <w:t xml:space="preserve">taille</w:t>
      </w:r>
      <w:r>
        <w:rPr>
          <w:rFonts w:ascii="Montserrat" w:cs="Montserrat" w:eastAsia="Montserrat" w:hAnsi="Montserrat"/>
          <w:color w:val="1E1E1E"/>
          <w:sz w:val="19"/>
          <w:szCs w:val="19"/>
        </w:rPr>
        <w:t xml:space="preserve">, rarement par la couleur ; Emerald Green pour l’étiquetage et les accents.</w:t>
      </w:r>
    </w:p>
    <w:p>
      <w:pPr>
        <w:pStyle w:val="ListParagraph"/>
        <w:numPr>
          <w:ilvl w:val="0"/>
          <w:numId w:val="2"/>
        </w:numPr>
        <w:spacing w:after="70"/>
      </w:pPr>
      <w:r>
        <w:rPr>
          <w:rFonts w:ascii="Montserrat" w:cs="Montserrat" w:eastAsia="Montserrat" w:hAnsi="Montserrat"/>
          <w:color w:val="1E1E1E"/>
          <w:sz w:val="19"/>
          <w:szCs w:val="19"/>
        </w:rPr>
        <w:t xml:space="preserve">Alignement à gauche par défaut ; centré pour les titres de documents officiels et les pieds de page.</w:t>
      </w:r>
    </w:p>
    <w:p>
      <w:pPr>
        <w:pStyle w:val="ListParagraph"/>
        <w:numPr>
          <w:ilvl w:val="0"/>
          <w:numId w:val="2"/>
        </w:numPr>
        <w:spacing w:after="70"/>
      </w:pPr>
      <w:r>
        <w:rPr>
          <w:rFonts w:ascii="Montserrat" w:cs="Montserrat" w:eastAsia="Montserrat" w:hAnsi="Montserrat"/>
          <w:color w:val="1E1E1E"/>
          <w:sz w:val="19"/>
          <w:szCs w:val="19"/>
        </w:rPr>
        <w:t xml:space="preserve">Capitales réservées au slogan, aux étiquettes courtes et aux types de documents (interlettrage augmenté).</w:t>
      </w:r>
    </w:p>
    <w:p>
      <w:pPr>
        <w:pStyle w:val="ListParagraph"/>
        <w:numPr>
          <w:ilvl w:val="0"/>
          <w:numId w:val="2"/>
        </w:numPr>
        <w:spacing w:after="70"/>
      </w:pPr>
      <w:r>
        <w:rPr>
          <w:rFonts w:ascii="Montserrat" w:cs="Montserrat" w:eastAsia="Montserrat" w:hAnsi="Montserrat"/>
          <w:color w:val="1E1E1E"/>
          <w:sz w:val="19"/>
          <w:szCs w:val="19"/>
        </w:rPr>
        <w:t xml:space="preserve">Le </w:t>
      </w:r>
      <w:r>
        <w:rPr>
          <w:rFonts w:ascii="Montserrat" w:cs="Montserrat" w:eastAsia="Montserrat" w:hAnsi="Montserrat"/>
          <w:b/>
          <w:bCs/>
          <w:color w:val="1E1E1E"/>
          <w:sz w:val="19"/>
          <w:szCs w:val="19"/>
        </w:rPr>
        <w:t xml:space="preserve">nom de marque</w:t>
      </w:r>
      <w:r>
        <w:rPr>
          <w:rFonts w:ascii="Montserrat" w:cs="Montserrat" w:eastAsia="Montserrat" w:hAnsi="Montserrat"/>
          <w:color w:val="1E1E1E"/>
          <w:sz w:val="19"/>
          <w:szCs w:val="19"/>
        </w:rPr>
        <w:t xml:space="preserve"> du logo n’est jamais retapé en Montserrat ; en texte courant, écrire « TechnologyTrade Group ».</w:t>
      </w:r>
    </w:p>
    <w:p>
      <w:pPr>
        <w:pStyle w:val="ListParagraph"/>
        <w:numPr>
          <w:ilvl w:val="0"/>
          <w:numId w:val="2"/>
        </w:numPr>
        <w:spacing w:after="70"/>
      </w:pPr>
      <w:r>
        <w:rPr>
          <w:rFonts w:ascii="Montserrat" w:cs="Montserrat" w:eastAsia="Montserrat" w:hAnsi="Montserrat"/>
          <w:color w:val="1E1E1E"/>
          <w:sz w:val="19"/>
          <w:szCs w:val="19"/>
        </w:rPr>
        <w:t xml:space="preserve">Communication institutionnelle : Bold et Regular, sobriété, titres courts. Communication commerciale : titres Bold/ExtraBold, appel à l’action en SemiBold sur Emerald Green.</w:t>
      </w:r>
    </w:p>
    <w:p>
      <w:pPr>
        <w:pStyle w:val="Heading2"/>
      </w:pPr>
      <w:r>
        <w:rPr>
          <w:rFonts w:ascii="Montserrat" w:cs="Montserrat" w:eastAsia="Montserrat" w:hAnsi="Montserrat"/>
          <w:b/>
          <w:bCs/>
          <w:color w:val="0A1D3D"/>
          <w:sz w:val="24"/>
          <w:szCs w:val="24"/>
        </w:rPr>
        <w:t xml:space="preserve">D.4  Dépendance et licence</w:t>
      </w:r>
    </w:p>
    <w:p>
      <w:pPr>
        <w:pStyle w:val="TTGCorps"/>
      </w:pPr>
      <w:r>
        <w:rPr>
          <w:rFonts w:ascii="Montserrat" w:cs="Montserrat" w:eastAsia="Montserrat" w:hAnsi="Montserrat"/>
          <w:b/>
          <w:bCs/>
          <w:color w:val="1E1E1E"/>
          <w:sz w:val="19"/>
          <w:szCs w:val="19"/>
        </w:rPr>
        <w:t xml:space="preserve">Montserrat n’est pas incorporée</w:t>
      </w:r>
      <w:r>
        <w:rPr>
          <w:rFonts w:ascii="Montserrat" w:cs="Montserrat" w:eastAsia="Montserrat" w:hAnsi="Montserrat"/>
          <w:color w:val="1E1E1E"/>
          <w:sz w:val="19"/>
          <w:szCs w:val="19"/>
        </w:rPr>
        <w:t xml:space="preserve"> dans les fichiers DOCX et PPTX du kit (les fichiers PDF, SVG, EPS et PSD contiennent des contours ou des polices incorporées). Sur une machine sans Montserrat, Word et PowerPoint la remplacent par une police par défaut : installer les fichiers .ttf du dossier Polices_Montserrat_OFL (ou la famille Montserrat depuis Google Fonts) avant d’ouvrir ces fichiers.</w:t>
      </w:r>
    </w:p>
    <w:p>
      <w:pPr>
        <w:pStyle w:val="Heading1"/>
        <w:pageBreakBefore/>
      </w:pPr>
      <w:r>
        <w:rPr>
          <w:rFonts w:ascii="Montserrat" w:cs="Montserrat" w:eastAsia="Montserrat" w:hAnsi="Montserrat"/>
          <w:b/>
          <w:bCs/>
          <w:color w:val="0A1D3D"/>
          <w:sz w:val="34"/>
          <w:szCs w:val="34"/>
        </w:rPr>
        <w:t xml:space="preserve">E — Applications graphiques</w:t>
      </w:r>
    </w:p>
    <w:p>
      <w:pPr>
        <w:pStyle w:val="TTGCorps"/>
      </w:pPr>
      <w:r>
        <w:rPr>
          <w:rFonts w:ascii="Montserrat" w:cs="Montserrat" w:eastAsia="Montserrat" w:hAnsi="Montserrat"/>
          <w:color w:val="1E1E1E"/>
          <w:sz w:val="19"/>
          <w:szCs w:val="19"/>
        </w:rPr>
        <w:t xml:space="preserve">Tous les supports partagent le même système : logo officiel, cinq couleurs, Montserrat, motif radial (le symbole en teinte 55 / 78 / 120 sur Deep Navy), accent Emerald Green. Chaque modèle est livré dans 05_Applications/, 03_Carte_De_Visite/ ou 04_Badge/.</w:t>
      </w:r>
    </w:p>
    <w:p>
      <w:pPr>
        <w:pStyle w:val="Heading2"/>
      </w:pPr>
      <w:r>
        <w:rPr>
          <w:rFonts w:ascii="Montserrat" w:cs="Montserrat" w:eastAsia="Montserrat" w:hAnsi="Montserrat"/>
          <w:b/>
          <w:bCs/>
          <w:color w:val="0A1D3D"/>
          <w:sz w:val="24"/>
          <w:szCs w:val="24"/>
        </w:rPr>
        <w:t xml:space="preserve">E.1  Carte de visite</w:t>
      </w:r>
    </w:p>
    <w:p>
      <w:pPr>
        <w:keepNext/>
        <w:spacing w:after="60" w:before="120"/>
        <w:jc w:val="center"/>
      </w:pPr>
      <w:r>
        <w:drawing>
          <wp:inline distT="0" distB="0" distL="0" distR="0">
            <wp:extent cx="6124575" cy="2152650"/>
            <wp:effectExtent t="0" r="0" b="0" l="0"/>
            <wp:docPr id="1" name="11_application_carte.png" descr="Carte de visite : face A (logo) et face B (contact), d’après la maquette fournie. Textes de la maquette : nom et fonction ; coordonnées à compléter." title="Carte de visite : face A (logo) et face B (contact), d’après la maquette fournie. Textes de la maquette : nom et fonction ; coordonnées à complé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24575" cy="2152650"/>
                    </a:xfrm>
                    <a:prstGeom prst="rect">
                      <a:avLst/>
                    </a:prstGeom>
                  </pic:spPr>
                </pic:pic>
              </a:graphicData>
            </a:graphic>
          </wp:inline>
        </w:drawing>
      </w:r>
    </w:p>
    <w:p>
      <w:pPr>
        <w:spacing w:after="200"/>
        <w:jc w:val="center"/>
      </w:pPr>
      <w:r>
        <w:rPr>
          <w:rFonts w:ascii="Montserrat" w:cs="Montserrat" w:eastAsia="Montserrat" w:hAnsi="Montserrat"/>
          <w:color w:val="626262"/>
          <w:sz w:val="15"/>
          <w:szCs w:val="15"/>
        </w:rPr>
        <w:t xml:space="preserve">Carte de visite : face A (logo) et face B (contact), d’après la maquette fournie. Textes de la maquette : nom et fonction ; coordonnées à compléter.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7"/>
        <w:gridCol w:w="5163"/>
        <w:gridCol w:w="2238"/>
      </w:tblGrid>
      <w:tr>
        <w:trPr>
          <w:cantSplit/>
          <w:tblHeader/>
        </w:trPr>
        <w:tc>
          <w:tcPr>
            <w:tcW w:type="dxa" w:w="2237"/>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Paramètre</w:t>
            </w:r>
          </w:p>
        </w:tc>
        <w:tc>
          <w:tcPr>
            <w:tcW w:type="dxa" w:w="5163"/>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Valeur</w:t>
            </w:r>
          </w:p>
        </w:tc>
        <w:tc>
          <w:tcPr>
            <w:tcW w:type="dxa" w:w="2238"/>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Statut</w:t>
            </w:r>
          </w:p>
        </w:tc>
      </w:tr>
      <w:tr>
        <w:trPr>
          <w:cantSplit/>
        </w:trPr>
        <w:tc>
          <w:tcPr>
            <w:tcW w:type="dxa" w:w="223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Format fini / fond perdu / sécurité</w:t>
            </w:r>
          </w:p>
        </w:tc>
        <w:tc>
          <w:tcPr>
            <w:tcW w:type="dxa" w:w="5163"/>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90 × 50 mm / 3 mm / 3 mm</w:t>
            </w:r>
          </w:p>
        </w:tc>
        <w:tc>
          <w:tcPr>
            <w:tcW w:type="dxa" w:w="223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 (format par défaut de la consigne)</w:t>
            </w:r>
          </w:p>
        </w:tc>
      </w:tr>
      <w:tr>
        <w:trPr>
          <w:cantSplit/>
        </w:trPr>
        <w:tc>
          <w:tcPr>
            <w:tcW w:type="dxa" w:w="223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Face A</w:t>
            </w:r>
          </w:p>
        </w:tc>
        <w:tc>
          <w:tcPr>
            <w:tcW w:type="dxa" w:w="5163"/>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Fond Deep Navy ; logo principal blanc, largeur 50 mm, en haut à gauche (10 mm, 6 mm)</w:t>
            </w:r>
          </w:p>
        </w:tc>
        <w:tc>
          <w:tcPr>
            <w:tcW w:type="dxa" w:w="223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A1D3D"/>
                <w:sz w:val="16"/>
                <w:szCs w:val="16"/>
              </w:rPr>
              <w:t xml:space="preserve">Mesuré (maquette, ±0,5 mm)</w:t>
            </w:r>
          </w:p>
        </w:tc>
      </w:tr>
      <w:tr>
        <w:trPr>
          <w:cantSplit/>
        </w:trPr>
        <w:tc>
          <w:tcPr>
            <w:tcW w:type="dxa" w:w="223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Face B</w:t>
            </w:r>
          </w:p>
        </w:tc>
        <w:tc>
          <w:tcPr>
            <w:tcW w:type="dxa" w:w="5163"/>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Fond Deep Navy ; marge gauche 7 mm ; nom Bold 9,5 pt ; fonction Medium 7 pt (texte atténué) ; coordonnées Regular 7,3 pt avec pictogrammes Emerald Green ; motif radial en bas à droite</w:t>
            </w:r>
          </w:p>
        </w:tc>
        <w:tc>
          <w:tcPr>
            <w:tcW w:type="dxa" w:w="223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A1D3D"/>
                <w:sz w:val="16"/>
                <w:szCs w:val="16"/>
              </w:rPr>
              <w:t xml:space="preserve">Mesuré / Dérivé</w:t>
            </w:r>
          </w:p>
        </w:tc>
      </w:tr>
      <w:tr>
        <w:trPr>
          <w:cantSplit/>
        </w:trPr>
        <w:tc>
          <w:tcPr>
            <w:tcW w:type="dxa" w:w="223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Accent vert</w:t>
            </w:r>
          </w:p>
        </w:tc>
        <w:tc>
          <w:tcPr>
            <w:tcW w:type="dxa" w:w="5163"/>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Visible uniquement en </w:t>
            </w:r>
            <w:r>
              <w:rPr>
                <w:rFonts w:ascii="Montserrat" w:cs="Montserrat" w:eastAsia="Montserrat" w:hAnsi="Montserrat"/>
                <w:b/>
                <w:bCs/>
                <w:color w:val="1E1E1E"/>
                <w:sz w:val="16"/>
                <w:szCs w:val="16"/>
              </w:rPr>
              <w:t xml:space="preserve">tranche</w:t>
            </w:r>
            <w:r>
              <w:rPr>
                <w:rFonts w:ascii="Montserrat" w:cs="Montserrat" w:eastAsia="Montserrat" w:hAnsi="Montserrat"/>
                <w:color w:val="1E1E1E"/>
                <w:sz w:val="16"/>
                <w:szCs w:val="16"/>
              </w:rPr>
              <w:t xml:space="preserve"> sur la maquette (finition « tranche peinte ») ; calque de liseré imprimé de 1,6 mm optionnel et masqué</w:t>
            </w:r>
          </w:p>
        </w:tc>
        <w:tc>
          <w:tcPr>
            <w:tcW w:type="dxa" w:w="223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A1D3D"/>
                <w:sz w:val="16"/>
                <w:szCs w:val="16"/>
              </w:rPr>
              <w:t xml:space="preserve">Mesuré</w:t>
            </w:r>
          </w:p>
        </w:tc>
      </w:tr>
      <w:tr>
        <w:trPr>
          <w:cantSplit/>
        </w:trPr>
        <w:tc>
          <w:tcPr>
            <w:tcW w:type="dxa" w:w="223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Fichiers</w:t>
            </w:r>
          </w:p>
        </w:tc>
        <w:tc>
          <w:tcPr>
            <w:tcW w:type="dxa" w:w="5163"/>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PSD à calques nommés (textes en calques raster + JSX de conversion), SVG à textes vivants, PDF CMJN avec repères, TIFF 300 ppp CMJN, PNG RVB</w:t>
            </w:r>
          </w:p>
        </w:tc>
        <w:tc>
          <w:tcPr>
            <w:tcW w:type="dxa" w:w="223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w:t>
            </w:r>
          </w:p>
        </w:tc>
      </w:tr>
    </w:tbl>
    <w:p>
      <w:pPr>
        <w:pStyle w:val="Heading2"/>
      </w:pPr>
      <w:r>
        <w:rPr>
          <w:rFonts w:ascii="Montserrat" w:cs="Montserrat" w:eastAsia="Montserrat" w:hAnsi="Montserrat"/>
          <w:b/>
          <w:bCs/>
          <w:color w:val="0A1D3D"/>
          <w:sz w:val="24"/>
          <w:szCs w:val="24"/>
        </w:rPr>
        <w:t xml:space="preserve">E.2  Badge professionnel</w:t>
      </w:r>
    </w:p>
    <w:p>
      <w:pPr>
        <w:keepNext/>
        <w:spacing w:after="60" w:before="120"/>
        <w:jc w:val="center"/>
      </w:pPr>
      <w:r>
        <w:drawing>
          <wp:inline distT="0" distB="0" distL="0" distR="0">
            <wp:extent cx="6124575" cy="2771775"/>
            <wp:effectExtent t="0" r="0" b="0" l="0"/>
            <wp:docPr id="1" name="12_application_badge.png" descr="Badge : portrait modèle, portrait vierge, paysage modèle." title="Badge : portrait modèle, portrait vierge, paysage modè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24575" cy="2771775"/>
                    </a:xfrm>
                    <a:prstGeom prst="rect">
                      <a:avLst/>
                    </a:prstGeom>
                  </pic:spPr>
                </pic:pic>
              </a:graphicData>
            </a:graphic>
          </wp:inline>
        </w:drawing>
      </w:r>
    </w:p>
    <w:p>
      <w:pPr>
        <w:spacing w:after="200"/>
        <w:jc w:val="center"/>
      </w:pPr>
      <w:r>
        <w:rPr>
          <w:rFonts w:ascii="Montserrat" w:cs="Montserrat" w:eastAsia="Montserrat" w:hAnsi="Montserrat"/>
          <w:color w:val="626262"/>
          <w:sz w:val="15"/>
          <w:szCs w:val="15"/>
        </w:rPr>
        <w:t xml:space="preserve">Badge : portrait modèle, portrait vierge, paysage modèle.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97"/>
        <w:gridCol w:w="5717"/>
        <w:gridCol w:w="2124"/>
      </w:tblGrid>
      <w:tr>
        <w:trPr>
          <w:cantSplit/>
          <w:tblHeader/>
        </w:trPr>
        <w:tc>
          <w:tcPr>
            <w:tcW w:type="dxa" w:w="1797"/>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Paramètre</w:t>
            </w:r>
          </w:p>
        </w:tc>
        <w:tc>
          <w:tcPr>
            <w:tcW w:type="dxa" w:w="5717"/>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Valeur</w:t>
            </w:r>
          </w:p>
        </w:tc>
        <w:tc>
          <w:tcPr>
            <w:tcW w:type="dxa" w:w="2124"/>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Statut</w:t>
            </w:r>
          </w:p>
        </w:tc>
      </w:tr>
      <w:tr>
        <w:trPr>
          <w:cantSplit/>
        </w:trPr>
        <w:tc>
          <w:tcPr>
            <w:tcW w:type="dxa" w:w="179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Format</w:t>
            </w:r>
          </w:p>
        </w:tc>
        <w:tc>
          <w:tcPr>
            <w:tcW w:type="dxa" w:w="571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ID-1 / CR80 : 85,6 × 54 mm (portrait 54 × 85,6 mm), coins arrondis 3,18 mm, fond perdu 3 mm</w:t>
            </w:r>
          </w:p>
        </w:tc>
        <w:tc>
          <w:tcPr>
            <w:tcW w:type="dxa" w:w="212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 (norme ISO/IEC 7810)</w:t>
            </w:r>
          </w:p>
        </w:tc>
      </w:tr>
      <w:tr>
        <w:trPr>
          <w:cantSplit/>
        </w:trPr>
        <w:tc>
          <w:tcPr>
            <w:tcW w:type="dxa" w:w="179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Système</w:t>
            </w:r>
          </w:p>
        </w:tc>
        <w:tc>
          <w:tcPr>
            <w:tcW w:type="dxa" w:w="571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Même fond Deep Navy, même logo blanc, même Montserrat que la carte ; liseré Emerald Green de 1,6 mm en pied</w:t>
            </w:r>
          </w:p>
        </w:tc>
        <w:tc>
          <w:tcPr>
            <w:tcW w:type="dxa" w:w="212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179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Zones modifiables</w:t>
            </w:r>
          </w:p>
        </w:tc>
        <w:tc>
          <w:tcPr>
            <w:tcW w:type="dxa" w:w="571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Logo, photo (24 × 30 mm, facultatif), nom (Bold 10,5 pt), fonction (Medium 7,5 pt), service (Regular 7 pt, Emerald Green), identifiant facultatif, QR facultatif (12 × 12 mm)</w:t>
            </w:r>
          </w:p>
        </w:tc>
        <w:tc>
          <w:tcPr>
            <w:tcW w:type="dxa" w:w="212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179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Fichiers</w:t>
            </w:r>
          </w:p>
        </w:tc>
        <w:tc>
          <w:tcPr>
            <w:tcW w:type="dxa" w:w="571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PSD, SVG, PDF CMJN avec repères, TIFF 300 ppp, PNG ; versions modèle et vierge ; README de remplacement des éléments</w:t>
            </w:r>
          </w:p>
        </w:tc>
        <w:tc>
          <w:tcPr>
            <w:tcW w:type="dxa" w:w="212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w:t>
            </w:r>
          </w:p>
        </w:tc>
      </w:tr>
    </w:tbl>
    <w:p>
      <w:pPr>
        <w:pStyle w:val="TTGNote"/>
      </w:pPr>
      <w:r>
        <w:rPr>
          <w:rFonts w:ascii="Montserrat" w:cs="Montserrat" w:eastAsia="Montserrat" w:hAnsi="Montserrat"/>
          <w:color w:val="626262"/>
          <w:sz w:val="15"/>
          <w:szCs w:val="15"/>
        </w:rPr>
        <w:t xml:space="preserve">Aucune donnée personnelle n’est inventée : tous les champs sont entre crochets.</w:t>
      </w:r>
    </w:p>
    <w:p>
      <w:pPr>
        <w:pStyle w:val="Heading2"/>
      </w:pPr>
      <w:r>
        <w:rPr>
          <w:rFonts w:ascii="Montserrat" w:cs="Montserrat" w:eastAsia="Montserrat" w:hAnsi="Montserrat"/>
          <w:b/>
          <w:bCs/>
          <w:color w:val="0A1D3D"/>
          <w:sz w:val="24"/>
          <w:szCs w:val="24"/>
        </w:rPr>
        <w:t xml:space="preserve">E.3  Papeterie, documents officiels et page de garde</w:t>
      </w:r>
    </w:p>
    <w:p>
      <w:pPr>
        <w:keepNext/>
        <w:spacing w:after="60" w:before="120"/>
        <w:jc w:val="center"/>
      </w:pPr>
      <w:r>
        <w:drawing>
          <wp:inline distT="0" distB="0" distL="0" distR="0">
            <wp:extent cx="6124575" cy="2895600"/>
            <wp:effectExtent t="0" r="0" b="0" l="0"/>
            <wp:docPr id="1" name="09_applications_documents.png" descr="Papier à en-tête, document institutionnel et page de garde (modèles DOCX)." title="Papier à en-tête, document institutionnel et page de garde (modèles 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24575" cy="2895600"/>
                    </a:xfrm>
                    <a:prstGeom prst="rect">
                      <a:avLst/>
                    </a:prstGeom>
                  </pic:spPr>
                </pic:pic>
              </a:graphicData>
            </a:graphic>
          </wp:inline>
        </w:drawing>
      </w:r>
    </w:p>
    <w:p>
      <w:pPr>
        <w:spacing w:after="200"/>
        <w:jc w:val="center"/>
      </w:pPr>
      <w:r>
        <w:rPr>
          <w:rFonts w:ascii="Montserrat" w:cs="Montserrat" w:eastAsia="Montserrat" w:hAnsi="Montserrat"/>
          <w:color w:val="626262"/>
          <w:sz w:val="15"/>
          <w:szCs w:val="15"/>
        </w:rPr>
        <w:t xml:space="preserve">Papier à en-tête, document institutionnel et page de garde (modèles DOCX).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3"/>
        <w:gridCol w:w="6247"/>
        <w:gridCol w:w="1428"/>
      </w:tblGrid>
      <w:tr>
        <w:trPr>
          <w:cantSplit/>
          <w:tblHeader/>
        </w:trPr>
        <w:tc>
          <w:tcPr>
            <w:tcW w:type="dxa" w:w="1963"/>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Élément</w:t>
            </w:r>
          </w:p>
        </w:tc>
        <w:tc>
          <w:tcPr>
            <w:tcW w:type="dxa" w:w="6247"/>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Règle appliquée</w:t>
            </w:r>
          </w:p>
        </w:tc>
        <w:tc>
          <w:tcPr>
            <w:tcW w:type="dxa" w:w="1428"/>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Statut</w:t>
            </w:r>
          </w:p>
        </w:tc>
      </w:tr>
      <w:tr>
        <w:trPr>
          <w:cantSplit/>
        </w:trPr>
        <w:tc>
          <w:tcPr>
            <w:tcW w:type="dxa" w:w="1963"/>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Format et marges</w:t>
            </w:r>
          </w:p>
        </w:tc>
        <w:tc>
          <w:tcPr>
            <w:tcW w:type="dxa" w:w="624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A4 ; papier à en-tête : haut 40 mm, bas 30 mm, côtés 25 mm ; document institutionnel : bas 26 mm</w:t>
            </w:r>
          </w:p>
        </w:tc>
        <w:tc>
          <w:tcPr>
            <w:tcW w:type="dxa" w:w="142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1963"/>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En-tête</w:t>
            </w:r>
          </w:p>
        </w:tc>
        <w:tc>
          <w:tcPr>
            <w:tcW w:type="dxa" w:w="624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Logo principal couleur, 52 mm (papier à en-tête) ou 62 mm (1re page) puis 34 mm avec titre court</w:t>
            </w:r>
          </w:p>
        </w:tc>
        <w:tc>
          <w:tcPr>
            <w:tcW w:type="dxa" w:w="142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1963"/>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Pied de page</w:t>
            </w:r>
          </w:p>
        </w:tc>
        <w:tc>
          <w:tcPr>
            <w:tcW w:type="dxa" w:w="624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Coordonnées en 7,5 pt + slogan (en-tête de document : référence et pagination)</w:t>
            </w:r>
          </w:p>
        </w:tc>
        <w:tc>
          <w:tcPr>
            <w:tcW w:type="dxa" w:w="142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1963"/>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Styles Word</w:t>
            </w:r>
          </w:p>
        </w:tc>
        <w:tc>
          <w:tcPr>
            <w:tcW w:type="dxa" w:w="624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 TTG Corps » (Montserrat 9,5 pt, interligne 1,3), « Titre 1 / 2 / 3 » (Deep Navy / Emerald Green), « TTG Note »</w:t>
            </w:r>
          </w:p>
        </w:tc>
        <w:tc>
          <w:tcPr>
            <w:tcW w:type="dxa" w:w="142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1963"/>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Tableaux</w:t>
            </w:r>
          </w:p>
        </w:tc>
        <w:tc>
          <w:tcPr>
            <w:tcW w:type="dxa" w:w="624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En-tête Deep Navy, texte blanc ; lignes alternées Light Gray ; filets E2E1E2</w:t>
            </w:r>
          </w:p>
        </w:tc>
        <w:tc>
          <w:tcPr>
            <w:tcW w:type="dxa" w:w="142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1963"/>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Page de garde</w:t>
            </w:r>
          </w:p>
        </w:tc>
        <w:tc>
          <w:tcPr>
            <w:tcW w:type="dxa" w:w="624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Fond Deep Navy pleine page avec motif radial rogné en bas à droite, logo blanc, type de document en Emerald Green (capitales espacées), titre Bold blanc</w:t>
            </w:r>
          </w:p>
        </w:tc>
        <w:tc>
          <w:tcPr>
            <w:tcW w:type="dxa" w:w="142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bl>
    <w:p>
      <w:pPr>
        <w:pStyle w:val="Heading2"/>
      </w:pPr>
      <w:r>
        <w:rPr>
          <w:rFonts w:ascii="Montserrat" w:cs="Montserrat" w:eastAsia="Montserrat" w:hAnsi="Montserrat"/>
          <w:b/>
          <w:bCs/>
          <w:color w:val="0A1D3D"/>
          <w:sz w:val="24"/>
          <w:szCs w:val="24"/>
        </w:rPr>
        <w:t xml:space="preserve">E.4  Présentation institutionnelle</w:t>
      </w:r>
    </w:p>
    <w:p>
      <w:pPr>
        <w:keepNext/>
        <w:spacing w:after="60" w:before="120"/>
        <w:jc w:val="center"/>
      </w:pPr>
      <w:r>
        <w:drawing>
          <wp:inline distT="0" distB="0" distL="0" distR="0">
            <wp:extent cx="6124575" cy="3590925"/>
            <wp:effectExtent t="0" r="0" b="0" l="0"/>
            <wp:docPr id="1" name="10_applications_presentation.png" descr="Présentation 16:9 : titre, section, architecture de marque et clôture." title="Présentation 16:9 : titre, section, architecture de marque et clô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24575" cy="3590925"/>
                    </a:xfrm>
                    <a:prstGeom prst="rect">
                      <a:avLst/>
                    </a:prstGeom>
                  </pic:spPr>
                </pic:pic>
              </a:graphicData>
            </a:graphic>
          </wp:inline>
        </w:drawing>
      </w:r>
    </w:p>
    <w:p>
      <w:pPr>
        <w:spacing w:after="200"/>
        <w:jc w:val="center"/>
      </w:pPr>
      <w:r>
        <w:rPr>
          <w:rFonts w:ascii="Montserrat" w:cs="Montserrat" w:eastAsia="Montserrat" w:hAnsi="Montserrat"/>
          <w:color w:val="626262"/>
          <w:sz w:val="15"/>
          <w:szCs w:val="15"/>
        </w:rPr>
        <w:t xml:space="preserve">Présentation 16:9 : titre, section, architecture de marque et clôture.</w:t>
      </w:r>
    </w:p>
    <w:p>
      <w:pPr>
        <w:pStyle w:val="TTGCorps"/>
      </w:pPr>
      <w:r>
        <w:rPr>
          <w:rFonts w:ascii="Montserrat" w:cs="Montserrat" w:eastAsia="Montserrat" w:hAnsi="Montserrat"/>
          <w:color w:val="1E1E1E"/>
          <w:sz w:val="19"/>
          <w:szCs w:val="19"/>
        </w:rPr>
        <w:t xml:space="preserve">Modèle PPTX en 16:9 (13,33 × 7,5 pouces), neuf mises en page : titre (panneau diagonal Deep Navy et motif), sommaire, section, message clé, comparaison, chiffres clés, architecture de marque, palette et clôture avec slogan. Les polices sont définies sur Montserrat dans le thème.</w:t>
      </w:r>
    </w:p>
    <w:p>
      <w:pPr>
        <w:pStyle w:val="Heading2"/>
      </w:pPr>
      <w:r>
        <w:rPr>
          <w:rFonts w:ascii="Montserrat" w:cs="Montserrat" w:eastAsia="Montserrat" w:hAnsi="Montserrat"/>
          <w:b/>
          <w:bCs/>
          <w:color w:val="0A1D3D"/>
          <w:sz w:val="24"/>
          <w:szCs w:val="24"/>
        </w:rPr>
        <w:t xml:space="preserve">E.5  Réseaux sociaux, bannière, signature e-mail, icône et favicon</w:t>
      </w:r>
    </w:p>
    <w:p>
      <w:pPr>
        <w:keepNext/>
        <w:spacing w:after="60" w:before="120"/>
        <w:jc w:val="center"/>
      </w:pPr>
      <w:r>
        <w:drawing>
          <wp:inline distT="0" distB="0" distL="0" distR="0">
            <wp:extent cx="6124575" cy="3467100"/>
            <wp:effectExtent t="0" r="0" b="0" l="0"/>
            <wp:docPr id="1" name="13_applications_numerique.png" descr="Post 1080 × 1080, bannière 1920 × 480, signature e-mail, icône d’application et favicons." title="Post 1080 × 1080, bannière 1920 × 480, signature e-mail, icône d’application et fav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24575" cy="3467100"/>
                    </a:xfrm>
                    <a:prstGeom prst="rect">
                      <a:avLst/>
                    </a:prstGeom>
                  </pic:spPr>
                </pic:pic>
              </a:graphicData>
            </a:graphic>
          </wp:inline>
        </w:drawing>
      </w:r>
    </w:p>
    <w:p>
      <w:pPr>
        <w:spacing w:after="200"/>
        <w:jc w:val="center"/>
      </w:pPr>
      <w:r>
        <w:rPr>
          <w:rFonts w:ascii="Montserrat" w:cs="Montserrat" w:eastAsia="Montserrat" w:hAnsi="Montserrat"/>
          <w:color w:val="626262"/>
          <w:sz w:val="15"/>
          <w:szCs w:val="15"/>
        </w:rPr>
        <w:t xml:space="preserve">Post 1080 × 1080, bannière 1920 × 480, signature e-mail, icône d’application et favicons.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6247"/>
        <w:gridCol w:w="1249"/>
      </w:tblGrid>
      <w:tr>
        <w:trPr>
          <w:cantSplit/>
          <w:tblHeader/>
        </w:trPr>
        <w:tc>
          <w:tcPr>
            <w:tcW w:type="dxa" w:w="2142"/>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Support</w:t>
            </w:r>
          </w:p>
        </w:tc>
        <w:tc>
          <w:tcPr>
            <w:tcW w:type="dxa" w:w="6247"/>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Règle</w:t>
            </w:r>
          </w:p>
        </w:tc>
        <w:tc>
          <w:tcPr>
            <w:tcW w:type="dxa" w:w="1249"/>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Statut</w:t>
            </w:r>
          </w:p>
        </w:tc>
      </w:tr>
      <w:tr>
        <w:trPr>
          <w:cantSplit/>
        </w:trPr>
        <w:tc>
          <w:tcPr>
            <w:tcW w:type="dxa" w:w="214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Post 1080 × 1080 px</w:t>
            </w:r>
          </w:p>
        </w:tc>
        <w:tc>
          <w:tcPr>
            <w:tcW w:type="dxa" w:w="624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Fond Deep Navy ; logo blanc 420 px en haut à gauche (80 px) ; titre Bold 76 px White ; texte Medium 32 px ; site Regular 28 px ; motif en bas à droite</w:t>
            </w:r>
          </w:p>
        </w:tc>
        <w:tc>
          <w:tcPr>
            <w:tcW w:type="dxa" w:w="1249"/>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2142"/>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Bannière 1920 × 480 et 1584 × 396 px</w:t>
            </w:r>
          </w:p>
        </w:tc>
        <w:tc>
          <w:tcPr>
            <w:tcW w:type="dxa" w:w="624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Fond Deep Navy ; logo blanc ; titre Bold ; bouton Emerald Green à texte Deep Navy ; motif à droite</w:t>
            </w:r>
          </w:p>
        </w:tc>
        <w:tc>
          <w:tcPr>
            <w:tcW w:type="dxa" w:w="1249"/>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214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Signature e-mail</w:t>
            </w:r>
          </w:p>
        </w:tc>
        <w:tc>
          <w:tcPr>
            <w:tcW w:type="dxa" w:w="624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Logo couleur à gauche, nom Bold, fonction et coordonnées, slogan ; HTML à tableaux ; repli Arial ; non testée dans des clients réels</w:t>
            </w:r>
          </w:p>
        </w:tc>
        <w:tc>
          <w:tcPr>
            <w:tcW w:type="dxa" w:w="1249"/>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2142"/>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Icône d’application</w:t>
            </w:r>
          </w:p>
        </w:tc>
        <w:tc>
          <w:tcPr>
            <w:tcW w:type="dxa" w:w="6247"/>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Carré 1024 px Deep Navy, symbole blanc à 60 % ; arrondi (22,37 %) fourni en aperçu ; variantes maskable et premier plan Android adaptatif</w:t>
            </w:r>
          </w:p>
        </w:tc>
        <w:tc>
          <w:tcPr>
            <w:tcW w:type="dxa" w:w="1249"/>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214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Favicon</w:t>
            </w:r>
          </w:p>
        </w:tc>
        <w:tc>
          <w:tcPr>
            <w:tcW w:type="dxa" w:w="6247"/>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SVG du symbole couleur ; tuile Deep Navy + symbole blanc en 16, 32, 48 px (ICO) ; apple-touch-icon 180 px</w:t>
            </w:r>
          </w:p>
        </w:tc>
        <w:tc>
          <w:tcPr>
            <w:tcW w:type="dxa" w:w="1249"/>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bl>
    <w:p>
      <w:pPr>
        <w:pStyle w:val="Heading2"/>
      </w:pPr>
      <w:r>
        <w:rPr>
          <w:rFonts w:ascii="Montserrat" w:cs="Montserrat" w:eastAsia="Montserrat" w:hAnsi="Montserrat"/>
          <w:b/>
          <w:bCs/>
          <w:color w:val="0A1D3D"/>
          <w:sz w:val="24"/>
          <w:szCs w:val="24"/>
        </w:rPr>
        <w:t xml:space="preserve">E.6  Site web et interfaces numériques</w:t>
      </w:r>
    </w:p>
    <w:p>
      <w:pPr>
        <w:keepNext/>
        <w:spacing w:after="60" w:before="120"/>
        <w:jc w:val="center"/>
      </w:pPr>
      <w:r>
        <w:drawing>
          <wp:inline distT="0" distB="0" distL="0" distR="0">
            <wp:extent cx="6124575" cy="3752850"/>
            <wp:effectExtent t="0" r="0" b="0" l="0"/>
            <wp:docPr id="1" name="06_composants_ui.png" descr="Composants d’interface d’après les maquettes « Website » et « Mobile app » de la planche." title="Composants d’interface d’après les maquettes « Website » et « Mobile app » de la plan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24575" cy="3752850"/>
                    </a:xfrm>
                    <a:prstGeom prst="rect">
                      <a:avLst/>
                    </a:prstGeom>
                  </pic:spPr>
                </pic:pic>
              </a:graphicData>
            </a:graphic>
          </wp:inline>
        </w:drawing>
      </w:r>
    </w:p>
    <w:p>
      <w:pPr>
        <w:spacing w:after="200"/>
        <w:jc w:val="center"/>
      </w:pPr>
      <w:r>
        <w:rPr>
          <w:rFonts w:ascii="Montserrat" w:cs="Montserrat" w:eastAsia="Montserrat" w:hAnsi="Montserrat"/>
          <w:color w:val="626262"/>
          <w:sz w:val="15"/>
          <w:szCs w:val="15"/>
        </w:rPr>
        <w:t xml:space="preserve">Composants d’interface d’après les maquettes « Website » et « Mobile app » de la planche.</w:t>
      </w:r>
    </w:p>
    <w:p>
      <w:pPr>
        <w:pStyle w:val="ListParagraph"/>
        <w:numPr>
          <w:ilvl w:val="0"/>
          <w:numId w:val="2"/>
        </w:numPr>
        <w:spacing w:after="70"/>
      </w:pPr>
      <w:r>
        <w:rPr>
          <w:rFonts w:ascii="Montserrat" w:cs="Montserrat" w:eastAsia="Montserrat" w:hAnsi="Montserrat"/>
          <w:color w:val="1E1E1E"/>
          <w:sz w:val="19"/>
          <w:szCs w:val="19"/>
        </w:rPr>
        <w:t xml:space="preserve">Barre de navigation sur Deep Navy, logo blanc à gauche, liens Montserrat Medium à droite.</w:t>
      </w:r>
    </w:p>
    <w:p>
      <w:pPr>
        <w:pStyle w:val="ListParagraph"/>
        <w:numPr>
          <w:ilvl w:val="0"/>
          <w:numId w:val="2"/>
        </w:numPr>
        <w:spacing w:after="70"/>
      </w:pPr>
      <w:r>
        <w:rPr>
          <w:rFonts w:ascii="Montserrat" w:cs="Montserrat" w:eastAsia="Montserrat" w:hAnsi="Montserrat"/>
          <w:color w:val="1E1E1E"/>
          <w:sz w:val="19"/>
          <w:szCs w:val="19"/>
        </w:rPr>
        <w:t xml:space="preserve">Bouton principal : fond Emerald Green, texte Deep Navy SemiBold ; bouton secondaire : contour White sur Deep Navy.</w:t>
      </w:r>
    </w:p>
    <w:p>
      <w:pPr>
        <w:pStyle w:val="ListParagraph"/>
        <w:numPr>
          <w:ilvl w:val="0"/>
          <w:numId w:val="2"/>
        </w:numPr>
        <w:spacing w:after="70"/>
      </w:pPr>
      <w:r>
        <w:rPr>
          <w:rFonts w:ascii="Montserrat" w:cs="Montserrat" w:eastAsia="Montserrat" w:hAnsi="Montserrat"/>
          <w:color w:val="1E1E1E"/>
          <w:sz w:val="19"/>
          <w:szCs w:val="19"/>
        </w:rPr>
        <w:t xml:space="preserve">Cartes : fond Light Gray, pastille Emerald Green, chiffre en ExtraBold Deep Navy.</w:t>
      </w:r>
    </w:p>
    <w:p>
      <w:pPr>
        <w:pStyle w:val="ListParagraph"/>
        <w:numPr>
          <w:ilvl w:val="0"/>
          <w:numId w:val="2"/>
        </w:numPr>
        <w:spacing w:after="70"/>
      </w:pPr>
      <w:r>
        <w:rPr>
          <w:rFonts w:ascii="Montserrat" w:cs="Montserrat" w:eastAsia="Montserrat" w:hAnsi="Montserrat"/>
          <w:color w:val="1E1E1E"/>
          <w:sz w:val="19"/>
          <w:szCs w:val="19"/>
        </w:rPr>
        <w:t xml:space="preserve">Les maquettes de la planche utilisent une photographie nocturne de ville : elle n’est </w:t>
      </w:r>
      <w:r>
        <w:rPr>
          <w:rFonts w:ascii="Montserrat" w:cs="Montserrat" w:eastAsia="Montserrat" w:hAnsi="Montserrat"/>
          <w:b/>
          <w:bCs/>
          <w:color w:val="1E1E1E"/>
          <w:sz w:val="19"/>
          <w:szCs w:val="19"/>
        </w:rPr>
        <w:t xml:space="preserve">pas reproduite</w:t>
      </w:r>
      <w:r>
        <w:rPr>
          <w:rFonts w:ascii="Montserrat" w:cs="Montserrat" w:eastAsia="Montserrat" w:hAnsi="Montserrat"/>
          <w:color w:val="1E1E1E"/>
          <w:sz w:val="19"/>
          <w:szCs w:val="19"/>
        </w:rPr>
        <w:t xml:space="preserve"> (aucun visuel extérieur ajouté).</w:t>
      </w:r>
    </w:p>
    <w:p>
      <w:pPr>
        <w:pStyle w:val="Heading2"/>
      </w:pPr>
      <w:r>
        <w:rPr>
          <w:rFonts w:ascii="Montserrat" w:cs="Montserrat" w:eastAsia="Montserrat" w:hAnsi="Montserrat"/>
          <w:b/>
          <w:bCs/>
          <w:color w:val="0A1D3D"/>
          <w:sz w:val="24"/>
          <w:szCs w:val="24"/>
        </w:rPr>
        <w:t xml:space="preserve">E.7  Signalétique</w:t>
      </w:r>
    </w:p>
    <w:p>
      <w:pPr>
        <w:keepNext/>
        <w:spacing w:after="60" w:before="120"/>
        <w:jc w:val="center"/>
      </w:pPr>
      <w:r>
        <w:drawing>
          <wp:inline distT="0" distB="0" distL="0" distR="0">
            <wp:extent cx="6124575" cy="1238250"/>
            <wp:effectExtent t="0" r="0" b="0" l="0"/>
            <wp:docPr id="1" name="14_application_signaletique.png" descr="Panneau d’accueil 1200 × 600 mm, plaque de porte 300 × 100 mm, kakémono 850 × 2000 mm." title="Panneau d’accueil 1200 × 600 mm, plaque de porte 300 × 100 mm, kakémono 850 × 20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24575" cy="1238250"/>
                    </a:xfrm>
                    <a:prstGeom prst="rect">
                      <a:avLst/>
                    </a:prstGeom>
                  </pic:spPr>
                </pic:pic>
              </a:graphicData>
            </a:graphic>
          </wp:inline>
        </w:drawing>
      </w:r>
    </w:p>
    <w:p>
      <w:pPr>
        <w:spacing w:after="200"/>
        <w:jc w:val="center"/>
      </w:pPr>
      <w:r>
        <w:rPr>
          <w:rFonts w:ascii="Montserrat" w:cs="Montserrat" w:eastAsia="Montserrat" w:hAnsi="Montserrat"/>
          <w:color w:val="626262"/>
          <w:sz w:val="15"/>
          <w:szCs w:val="15"/>
        </w:rPr>
        <w:t xml:space="preserve">Panneau d’accueil 1200 × 600 mm, plaque de porte 300 × 100 mm, kakémono 850 × 2000 mm.</w:t>
      </w:r>
    </w:p>
    <w:p>
      <w:pPr>
        <w:pStyle w:val="TTGCorps"/>
      </w:pPr>
      <w:r>
        <w:rPr>
          <w:rFonts w:ascii="Montserrat" w:cs="Montserrat" w:eastAsia="Montserrat" w:hAnsi="Montserrat"/>
          <w:color w:val="1E1E1E"/>
          <w:sz w:val="19"/>
          <w:szCs w:val="19"/>
        </w:rPr>
        <w:t xml:space="preserve">La planche montre un lettrage mural (logo blanc en relief sur mur sombre). Le kit propose trois plans plats vectoriels aux dimensions réelles. </w:t>
      </w:r>
      <w:r>
        <w:rPr>
          <w:rFonts w:ascii="Montserrat" w:cs="Montserrat" w:eastAsia="Montserrat" w:hAnsi="Montserrat"/>
          <w:b/>
          <w:bCs/>
          <w:color w:val="1E1E1E"/>
          <w:sz w:val="19"/>
          <w:szCs w:val="19"/>
        </w:rPr>
        <w:t xml:space="preserve">Formats usuels, non imposés par la référence</w:t>
      </w:r>
      <w:r>
        <w:rPr>
          <w:rFonts w:ascii="Montserrat" w:cs="Montserrat" w:eastAsia="Montserrat" w:hAnsi="Montserrat"/>
          <w:color w:val="1E1E1E"/>
          <w:sz w:val="19"/>
          <w:szCs w:val="19"/>
        </w:rPr>
        <w:t xml:space="preserve"> : à confirmer avec le fabricant (matière, fond perdu, zone de sécurité). Aucune enseigne extérieure ni pictogramme directionnel n’a été inventé.</w:t>
      </w:r>
    </w:p>
    <w:p>
      <w:pPr>
        <w:pStyle w:val="Heading1"/>
        <w:pageBreakBefore/>
      </w:pPr>
      <w:r>
        <w:rPr>
          <w:rFonts w:ascii="Montserrat" w:cs="Montserrat" w:eastAsia="Montserrat" w:hAnsi="Montserrat"/>
          <w:b/>
          <w:bCs/>
          <w:color w:val="0A1D3D"/>
          <w:sz w:val="34"/>
          <w:szCs w:val="34"/>
        </w:rPr>
        <w:t xml:space="preserve">F — Règles techniques</w:t>
      </w:r>
    </w:p>
    <w:p>
      <w:pPr>
        <w:pStyle w:val="Heading2"/>
      </w:pPr>
      <w:r>
        <w:rPr>
          <w:rFonts w:ascii="Montserrat" w:cs="Montserrat" w:eastAsia="Montserrat" w:hAnsi="Montserrat"/>
          <w:b/>
          <w:bCs/>
          <w:color w:val="0A1D3D"/>
          <w:sz w:val="24"/>
          <w:szCs w:val="24"/>
        </w:rPr>
        <w:t xml:space="preserve">F.1  Marges et zones de sécurité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56"/>
        <w:gridCol w:w="5354"/>
        <w:gridCol w:w="1428"/>
      </w:tblGrid>
      <w:tr>
        <w:trPr>
          <w:cantSplit/>
          <w:tblHeader/>
        </w:trPr>
        <w:tc>
          <w:tcPr>
            <w:tcW w:type="dxa" w:w="2856"/>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Support</w:t>
            </w:r>
          </w:p>
        </w:tc>
        <w:tc>
          <w:tcPr>
            <w:tcW w:type="dxa" w:w="5354"/>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Marge / sécurité</w:t>
            </w:r>
          </w:p>
        </w:tc>
        <w:tc>
          <w:tcPr>
            <w:tcW w:type="dxa" w:w="1428"/>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Statut</w:t>
            </w:r>
          </w:p>
        </w:tc>
      </w:tr>
      <w:tr>
        <w:trPr>
          <w:cantSplit/>
        </w:trPr>
        <w:tc>
          <w:tcPr>
            <w:tcW w:type="dxa" w:w="2856"/>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Carte, badge</w:t>
            </w:r>
          </w:p>
        </w:tc>
        <w:tc>
          <w:tcPr>
            <w:tcW w:type="dxa" w:w="535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3 mm à l’intérieur de la coupe</w:t>
            </w:r>
          </w:p>
        </w:tc>
        <w:tc>
          <w:tcPr>
            <w:tcW w:type="dxa" w:w="142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2856"/>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Documents A4</w:t>
            </w:r>
          </w:p>
        </w:tc>
        <w:tc>
          <w:tcPr>
            <w:tcW w:type="dxa" w:w="535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20 à 25 mm sur les côtés ; en-tête réservé : 40 mm en haut</w:t>
            </w:r>
          </w:p>
        </w:tc>
        <w:tc>
          <w:tcPr>
            <w:tcW w:type="dxa" w:w="142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2856"/>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Post 1080 px, bannière 1920 px</w:t>
            </w:r>
          </w:p>
        </w:tc>
        <w:tc>
          <w:tcPr>
            <w:tcW w:type="dxa" w:w="535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80 px (post) et 96 px (bannière) sur les bords gauche</w:t>
            </w:r>
          </w:p>
        </w:tc>
        <w:tc>
          <w:tcPr>
            <w:tcW w:type="dxa" w:w="142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2856"/>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Tous supports</w:t>
            </w:r>
          </w:p>
        </w:tc>
        <w:tc>
          <w:tcPr>
            <w:tcW w:type="dxa" w:w="535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Zone de protection du logo : X = 3/8 D (§ B.3)</w:t>
            </w:r>
          </w:p>
        </w:tc>
        <w:tc>
          <w:tcPr>
            <w:tcW w:type="dxa" w:w="142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A1D3D"/>
                <w:sz w:val="16"/>
                <w:szCs w:val="16"/>
              </w:rPr>
              <w:t xml:space="preserve">Mesuré</w:t>
            </w:r>
          </w:p>
        </w:tc>
      </w:tr>
    </w:tbl>
    <w:p>
      <w:pPr>
        <w:pStyle w:val="Heading2"/>
      </w:pPr>
      <w:r>
        <w:rPr>
          <w:rFonts w:ascii="Montserrat" w:cs="Montserrat" w:eastAsia="Montserrat" w:hAnsi="Montserrat"/>
          <w:b/>
          <w:bCs/>
          <w:color w:val="0A1D3D"/>
          <w:sz w:val="24"/>
          <w:szCs w:val="24"/>
        </w:rPr>
        <w:t xml:space="preserve">F.2  Fonds perdus</w:t>
      </w:r>
    </w:p>
    <w:p>
      <w:pPr>
        <w:keepNext/>
        <w:spacing w:after="60" w:before="120"/>
        <w:jc w:val="center"/>
      </w:pPr>
      <w:r>
        <w:drawing>
          <wp:inline distT="0" distB="0" distL="0" distR="0">
            <wp:extent cx="6124575" cy="2447925"/>
            <wp:effectExtent t="0" r="0" b="0" l="0"/>
            <wp:docPr id="1" name="07_fond_perdu.png" descr="Fond perdu, format fini et zone de sécurité de la carte de visite (échelle 1 mm = 8 px)." title="Fond perdu, format fini et zone de sécurité de la carte de visite (échelle 1 mm = 8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24575" cy="2447925"/>
                    </a:xfrm>
                    <a:prstGeom prst="rect">
                      <a:avLst/>
                    </a:prstGeom>
                  </pic:spPr>
                </pic:pic>
              </a:graphicData>
            </a:graphic>
          </wp:inline>
        </w:drawing>
      </w:r>
    </w:p>
    <w:p>
      <w:pPr>
        <w:spacing w:after="200"/>
        <w:jc w:val="center"/>
      </w:pPr>
      <w:r>
        <w:rPr>
          <w:rFonts w:ascii="Montserrat" w:cs="Montserrat" w:eastAsia="Montserrat" w:hAnsi="Montserrat"/>
          <w:color w:val="626262"/>
          <w:sz w:val="15"/>
          <w:szCs w:val="15"/>
        </w:rPr>
        <w:t xml:space="preserve">Fond perdu, format fini et zone de sécurité de la carte de visite (échelle 1 mm = 8 px).</w:t>
      </w:r>
    </w:p>
    <w:p>
      <w:pPr>
        <w:pStyle w:val="ListParagraph"/>
        <w:numPr>
          <w:ilvl w:val="0"/>
          <w:numId w:val="2"/>
        </w:numPr>
        <w:spacing w:after="70"/>
      </w:pPr>
      <w:r>
        <w:rPr>
          <w:rFonts w:ascii="Montserrat" w:cs="Montserrat" w:eastAsia="Montserrat" w:hAnsi="Montserrat"/>
          <w:color w:val="1E1E1E"/>
          <w:sz w:val="19"/>
          <w:szCs w:val="19"/>
        </w:rPr>
        <w:t xml:space="preserve">Imprimés : </w:t>
      </w:r>
      <w:r>
        <w:rPr>
          <w:rFonts w:ascii="Montserrat" w:cs="Montserrat" w:eastAsia="Montserrat" w:hAnsi="Montserrat"/>
          <w:b/>
          <w:bCs/>
          <w:color w:val="1E1E1E"/>
          <w:sz w:val="19"/>
          <w:szCs w:val="19"/>
        </w:rPr>
        <w:t xml:space="preserve">3 mm</w:t>
      </w:r>
      <w:r>
        <w:rPr>
          <w:rFonts w:ascii="Montserrat" w:cs="Montserrat" w:eastAsia="Montserrat" w:hAnsi="Montserrat"/>
          <w:color w:val="1E1E1E"/>
          <w:sz w:val="19"/>
          <w:szCs w:val="19"/>
        </w:rPr>
        <w:t xml:space="preserve"> de fond perdu de chaque côté et repères de coupe, comme dans les PDF du kit (carte, badge).</w:t>
      </w:r>
    </w:p>
    <w:p>
      <w:pPr>
        <w:pStyle w:val="ListParagraph"/>
        <w:numPr>
          <w:ilvl w:val="0"/>
          <w:numId w:val="2"/>
        </w:numPr>
        <w:spacing w:after="70"/>
      </w:pPr>
      <w:r>
        <w:rPr>
          <w:rFonts w:ascii="Montserrat" w:cs="Montserrat" w:eastAsia="Montserrat" w:hAnsi="Montserrat"/>
          <w:color w:val="1E1E1E"/>
          <w:sz w:val="19"/>
          <w:szCs w:val="19"/>
        </w:rPr>
        <w:t xml:space="preserve">Grands formats et signalétique : fond perdu à demander au fabricant (souvent 10 mm ou plus) ; les plans du kit n’en comportent pas.</w:t>
      </w:r>
    </w:p>
    <w:p>
      <w:pPr>
        <w:pStyle w:val="ListParagraph"/>
        <w:numPr>
          <w:ilvl w:val="0"/>
          <w:numId w:val="2"/>
        </w:numPr>
        <w:spacing w:after="70"/>
      </w:pPr>
      <w:r>
        <w:rPr>
          <w:rFonts w:ascii="Montserrat" w:cs="Montserrat" w:eastAsia="Montserrat" w:hAnsi="Montserrat"/>
          <w:color w:val="1E1E1E"/>
          <w:sz w:val="19"/>
          <w:szCs w:val="19"/>
        </w:rPr>
        <w:t xml:space="preserve">Les fonds Deep Navy et les motifs sont prolongés jusqu’au bord du fond perdu ; textes et logo restent dans la zone de sécurité.</w:t>
      </w:r>
    </w:p>
    <w:p>
      <w:pPr>
        <w:pStyle w:val="Heading2"/>
      </w:pPr>
      <w:r>
        <w:rPr>
          <w:rFonts w:ascii="Montserrat" w:cs="Montserrat" w:eastAsia="Montserrat" w:hAnsi="Montserrat"/>
          <w:b/>
          <w:bCs/>
          <w:color w:val="0A1D3D"/>
          <w:sz w:val="24"/>
          <w:szCs w:val="24"/>
        </w:rPr>
        <w:t xml:space="preserve">F.3  Résolutions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48"/>
        <w:gridCol w:w="4462"/>
        <w:gridCol w:w="1428"/>
      </w:tblGrid>
      <w:tr>
        <w:trPr>
          <w:cantSplit/>
          <w:tblHeader/>
        </w:trPr>
        <w:tc>
          <w:tcPr>
            <w:tcW w:type="dxa" w:w="3748"/>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Usage</w:t>
            </w:r>
          </w:p>
        </w:tc>
        <w:tc>
          <w:tcPr>
            <w:tcW w:type="dxa" w:w="4462"/>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Résolution</w:t>
            </w:r>
          </w:p>
        </w:tc>
        <w:tc>
          <w:tcPr>
            <w:tcW w:type="dxa" w:w="1428"/>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Statut</w:t>
            </w:r>
          </w:p>
        </w:tc>
      </w:tr>
      <w:tr>
        <w:trPr>
          <w:cantSplit/>
        </w:trPr>
        <w:tc>
          <w:tcPr>
            <w:tcW w:type="dxa" w:w="374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Impression offset ou numérique (carte, badge, documents)</w:t>
            </w:r>
          </w:p>
        </w:tc>
        <w:tc>
          <w:tcPr>
            <w:tcW w:type="dxa" w:w="446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Vectoriel de préférence ; images matricielles 300 ppp à 100 % de la taille finale</w:t>
            </w:r>
          </w:p>
        </w:tc>
        <w:tc>
          <w:tcPr>
            <w:tcW w:type="dxa" w:w="142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 (pratique usuelle)</w:t>
            </w:r>
          </w:p>
        </w:tc>
      </w:tr>
      <w:tr>
        <w:trPr>
          <w:cantSplit/>
        </w:trPr>
        <w:tc>
          <w:tcPr>
            <w:tcW w:type="dxa" w:w="374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Grands formats (kakémono, panneau)</w:t>
            </w:r>
          </w:p>
        </w:tc>
        <w:tc>
          <w:tcPr>
            <w:tcW w:type="dxa" w:w="4462"/>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Vectoriel ; sinon 100–150 ppp à la taille finale</w:t>
            </w:r>
          </w:p>
        </w:tc>
        <w:tc>
          <w:tcPr>
            <w:tcW w:type="dxa" w:w="142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374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Écran et web</w:t>
            </w:r>
          </w:p>
        </w:tc>
        <w:tc>
          <w:tcPr>
            <w:tcW w:type="dxa" w:w="446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1× à 72 ppp ; fournir aussi 2× pour écrans haute densité ; SVG pour le logo</w:t>
            </w:r>
          </w:p>
        </w:tc>
        <w:tc>
          <w:tcPr>
            <w:tcW w:type="dxa" w:w="142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r>
        <w:trPr>
          <w:cantSplit/>
        </w:trPr>
        <w:tc>
          <w:tcPr>
            <w:tcW w:type="dxa" w:w="374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Logo PNG du kit</w:t>
            </w:r>
          </w:p>
        </w:tc>
        <w:tc>
          <w:tcPr>
            <w:tcW w:type="dxa" w:w="4462"/>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Symbole 1200 px, nom 1600 px, autres 2400 px de large (300 ppp)</w:t>
            </w:r>
          </w:p>
        </w:tc>
        <w:tc>
          <w:tcPr>
            <w:tcW w:type="dxa" w:w="142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A1D3D"/>
                <w:sz w:val="16"/>
                <w:szCs w:val="16"/>
              </w:rPr>
              <w:t xml:space="preserve">Mesuré (fichiers produits)</w:t>
            </w:r>
          </w:p>
        </w:tc>
      </w:tr>
      <w:tr>
        <w:trPr>
          <w:cantSplit/>
        </w:trPr>
        <w:tc>
          <w:tcPr>
            <w:tcW w:type="dxa" w:w="374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Icône maître</w:t>
            </w:r>
          </w:p>
        </w:tc>
        <w:tc>
          <w:tcPr>
            <w:tcW w:type="dxa" w:w="446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1024 × 1024 px</w:t>
            </w:r>
          </w:p>
        </w:tc>
        <w:tc>
          <w:tcPr>
            <w:tcW w:type="dxa" w:w="142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bl>
    <w:p>
      <w:pPr>
        <w:pStyle w:val="Heading2"/>
      </w:pPr>
      <w:r>
        <w:rPr>
          <w:rFonts w:ascii="Montserrat" w:cs="Montserrat" w:eastAsia="Montserrat" w:hAnsi="Montserrat"/>
          <w:b/>
          <w:bCs/>
          <w:color w:val="0A1D3D"/>
          <w:sz w:val="24"/>
          <w:szCs w:val="24"/>
        </w:rPr>
        <w:t xml:space="preserve">F.4  Formats de fichiers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3"/>
        <w:gridCol w:w="3154"/>
        <w:gridCol w:w="4381"/>
      </w:tblGrid>
      <w:tr>
        <w:trPr>
          <w:cantSplit/>
          <w:tblHeader/>
        </w:trPr>
        <w:tc>
          <w:tcPr>
            <w:tcW w:type="dxa" w:w="2103"/>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Besoin</w:t>
            </w:r>
          </w:p>
        </w:tc>
        <w:tc>
          <w:tcPr>
            <w:tcW w:type="dxa" w:w="3154"/>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Format du kit</w:t>
            </w:r>
          </w:p>
        </w:tc>
        <w:tc>
          <w:tcPr>
            <w:tcW w:type="dxa" w:w="4381"/>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Remarque</w:t>
            </w:r>
          </w:p>
        </w:tc>
      </w:tr>
      <w:tr>
        <w:trPr>
          <w:cantSplit/>
        </w:trPr>
        <w:tc>
          <w:tcPr>
            <w:tcW w:type="dxa" w:w="2103"/>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Logo vectoriel</w:t>
            </w:r>
          </w:p>
        </w:tc>
        <w:tc>
          <w:tcPr>
            <w:tcW w:type="dxa" w:w="315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SVG, PDF, EPS</w:t>
            </w:r>
          </w:p>
        </w:tc>
        <w:tc>
          <w:tcPr>
            <w:tcW w:type="dxa" w:w="4381"/>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.ai natif non produit : enregistrer le SVG/PDF/EPS depuis Illustrator</w:t>
            </w:r>
          </w:p>
        </w:tc>
      </w:tr>
      <w:tr>
        <w:trPr>
          <w:cantSplit/>
        </w:trPr>
        <w:tc>
          <w:tcPr>
            <w:tcW w:type="dxa" w:w="2103"/>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Logo bitmap</w:t>
            </w:r>
          </w:p>
        </w:tc>
        <w:tc>
          <w:tcPr>
            <w:tcW w:type="dxa" w:w="315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PNG transparent</w:t>
            </w:r>
          </w:p>
        </w:tc>
        <w:tc>
          <w:tcPr>
            <w:tcW w:type="dxa" w:w="4381"/>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Aussi : original 370 × 109 px conservé</w:t>
            </w:r>
          </w:p>
        </w:tc>
      </w:tr>
      <w:tr>
        <w:trPr>
          <w:cantSplit/>
        </w:trPr>
        <w:tc>
          <w:tcPr>
            <w:tcW w:type="dxa" w:w="2103"/>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Impression</w:t>
            </w:r>
          </w:p>
        </w:tc>
        <w:tc>
          <w:tcPr>
            <w:tcW w:type="dxa" w:w="315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PDF CMJN avec repères ; TIFF 300 ppp CMJN LZW</w:t>
            </w:r>
          </w:p>
        </w:tc>
        <w:tc>
          <w:tcPr>
            <w:tcW w:type="dxa" w:w="4381"/>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PDF non certifiés PDF/X ; conversion finale à valider avec l’imprimeur</w:t>
            </w:r>
          </w:p>
        </w:tc>
      </w:tr>
      <w:tr>
        <w:trPr>
          <w:cantSplit/>
        </w:trPr>
        <w:tc>
          <w:tcPr>
            <w:tcW w:type="dxa" w:w="2103"/>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Documents modifiables</w:t>
            </w:r>
          </w:p>
        </w:tc>
        <w:tc>
          <w:tcPr>
            <w:tcW w:type="dxa" w:w="315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DOCX, PPTX</w:t>
            </w:r>
          </w:p>
        </w:tc>
        <w:tc>
          <w:tcPr>
            <w:tcW w:type="dxa" w:w="4381"/>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Montserrat à installer</w:t>
            </w:r>
          </w:p>
        </w:tc>
      </w:tr>
      <w:tr>
        <w:trPr>
          <w:cantSplit/>
        </w:trPr>
        <w:tc>
          <w:tcPr>
            <w:tcW w:type="dxa" w:w="2103"/>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Graphiques modifiables</w:t>
            </w:r>
          </w:p>
        </w:tc>
        <w:tc>
          <w:tcPr>
            <w:tcW w:type="dxa" w:w="3154"/>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PSD à calques ; SVG à textes vivants</w:t>
            </w:r>
          </w:p>
        </w:tc>
        <w:tc>
          <w:tcPr>
            <w:tcW w:type="dxa" w:w="4381"/>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Textes PSD en calques raster + script JSX de conversion (non testé dans Adobe)</w:t>
            </w:r>
          </w:p>
        </w:tc>
      </w:tr>
      <w:tr>
        <w:trPr>
          <w:cantSplit/>
        </w:trPr>
        <w:tc>
          <w:tcPr>
            <w:tcW w:type="dxa" w:w="2103"/>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Web</w:t>
            </w:r>
          </w:p>
        </w:tc>
        <w:tc>
          <w:tcPr>
            <w:tcW w:type="dxa" w:w="3154"/>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SVG, PNG, ICO, WEBMANIFEST</w:t>
            </w:r>
          </w:p>
        </w:tc>
        <w:tc>
          <w:tcPr>
            <w:tcW w:type="dxa" w:w="4381"/>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Intégration : Favicon/Integration_HTML.txt</w:t>
            </w:r>
          </w:p>
        </w:tc>
      </w:tr>
    </w:tbl>
    <w:p>
      <w:pPr>
        <w:pStyle w:val="Heading2"/>
      </w:pPr>
      <w:r>
        <w:rPr>
          <w:rFonts w:ascii="Montserrat" w:cs="Montserrat" w:eastAsia="Montserrat" w:hAnsi="Montserrat"/>
          <w:b/>
          <w:bCs/>
          <w:color w:val="0A1D3D"/>
          <w:sz w:val="24"/>
          <w:szCs w:val="24"/>
        </w:rPr>
        <w:t xml:space="preserve">F.5  Profils colorimétriques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8"/>
        <w:gridCol w:w="5242"/>
        <w:gridCol w:w="2198"/>
      </w:tblGrid>
      <w:tr>
        <w:trPr>
          <w:cantSplit/>
          <w:tblHeader/>
        </w:trPr>
        <w:tc>
          <w:tcPr>
            <w:tcW w:type="dxa" w:w="2198"/>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Domaine</w:t>
            </w:r>
          </w:p>
        </w:tc>
        <w:tc>
          <w:tcPr>
            <w:tcW w:type="dxa" w:w="5242"/>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Profil / méthode</w:t>
            </w:r>
          </w:p>
        </w:tc>
        <w:tc>
          <w:tcPr>
            <w:tcW w:type="dxa" w:w="2198"/>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Statut</w:t>
            </w:r>
          </w:p>
        </w:tc>
      </w:tr>
      <w:tr>
        <w:trPr>
          <w:cantSplit/>
        </w:trPr>
        <w:tc>
          <w:tcPr>
            <w:tcW w:type="dxa" w:w="219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Écran, web, aperçus RVB</w:t>
            </w:r>
          </w:p>
        </w:tc>
        <w:tc>
          <w:tcPr>
            <w:tcW w:type="dxa" w:w="524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sRGB IEC 61966-2.1 ; valeurs RVB de la planche</w:t>
            </w:r>
          </w:p>
        </w:tc>
        <w:tc>
          <w:tcPr>
            <w:tcW w:type="dxa" w:w="219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0A676"/>
                <w:sz w:val="16"/>
                <w:szCs w:val="16"/>
              </w:rPr>
              <w:t xml:space="preserve">Documenté (RVB) / Dérivé (profil)</w:t>
            </w:r>
          </w:p>
        </w:tc>
      </w:tr>
      <w:tr>
        <w:trPr>
          <w:cantSplit/>
        </w:trPr>
        <w:tc>
          <w:tcPr>
            <w:tcW w:type="dxa" w:w="219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Impression CMJN</w:t>
            </w:r>
          </w:p>
        </w:tc>
        <w:tc>
          <w:tcPr>
            <w:tcW w:type="dxa" w:w="5242"/>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Valeurs CMJN de la planche ; TIFF du kit balisés </w:t>
            </w:r>
            <w:r>
              <w:rPr>
                <w:rFonts w:ascii="Montserrat" w:cs="Montserrat" w:eastAsia="Montserrat" w:hAnsi="Montserrat"/>
                <w:b/>
                <w:bCs/>
                <w:color w:val="1E1E1E"/>
                <w:sz w:val="16"/>
                <w:szCs w:val="16"/>
              </w:rPr>
              <w:t xml:space="preserve">FOGRA39 (ISO Coated v2)</w:t>
            </w:r>
            <w:r>
              <w:rPr>
                <w:rFonts w:ascii="Montserrat" w:cs="Montserrat" w:eastAsia="Montserrat" w:hAnsi="Montserrat"/>
                <w:color w:val="1E1E1E"/>
                <w:sz w:val="16"/>
                <w:szCs w:val="16"/>
              </w:rPr>
              <w:t xml:space="preserve"> ; à confirmer avec l’imprimeur (papier, profil, PDF/X)</w:t>
            </w:r>
          </w:p>
        </w:tc>
        <w:tc>
          <w:tcPr>
            <w:tcW w:type="dxa" w:w="219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00A676"/>
                <w:sz w:val="16"/>
                <w:szCs w:val="16"/>
              </w:rPr>
              <w:t xml:space="preserve">Documenté (valeurs) / Dérivé (profil)</w:t>
            </w:r>
          </w:p>
        </w:tc>
      </w:tr>
      <w:tr>
        <w:trPr>
          <w:cantSplit/>
        </w:trPr>
        <w:tc>
          <w:tcPr>
            <w:tcW w:type="dxa" w:w="219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Couleurs d’accompagnement</w:t>
            </w:r>
          </w:p>
        </w:tc>
        <w:tc>
          <w:tcPr>
            <w:tcW w:type="dxa" w:w="524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Aucun Pantone fourni : ne pas en déduire sans épreuve</w:t>
            </w:r>
          </w:p>
        </w:tc>
        <w:tc>
          <w:tcPr>
            <w:tcW w:type="dxa" w:w="2198"/>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w:t>
            </w:r>
          </w:p>
        </w:tc>
      </w:tr>
      <w:tr>
        <w:trPr>
          <w:cantSplit/>
        </w:trPr>
        <w:tc>
          <w:tcPr>
            <w:tcW w:type="dxa" w:w="219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Texte noir</w:t>
            </w:r>
          </w:p>
        </w:tc>
        <w:tc>
          <w:tcPr>
            <w:tcW w:type="dxa" w:w="5242"/>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Graphite 0 / 0 / 0 / 90, noir pur uniquement en version noire du logo</w:t>
            </w:r>
          </w:p>
        </w:tc>
        <w:tc>
          <w:tcPr>
            <w:tcW w:type="dxa" w:w="2198"/>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626262"/>
                <w:sz w:val="16"/>
                <w:szCs w:val="16"/>
              </w:rPr>
              <w:t xml:space="preserve">Dérivé</w:t>
            </w:r>
          </w:p>
        </w:tc>
      </w:tr>
    </w:tbl>
    <w:p>
      <w:pPr>
        <w:pStyle w:val="TTGNote"/>
      </w:pPr>
      <w:r>
        <w:rPr>
          <w:rFonts w:ascii="Montserrat" w:cs="Montserrat" w:eastAsia="Montserrat" w:hAnsi="Montserrat"/>
          <w:color w:val="626262"/>
          <w:sz w:val="15"/>
          <w:szCs w:val="15"/>
        </w:rPr>
        <w:t xml:space="preserve">Les conversions CMJN peuvent varier selon le profil, le papier et la presse ; faire valider une épreuve avant tirage.</w:t>
      </w:r>
    </w:p>
    <w:p>
      <w:pPr>
        <w:pStyle w:val="Heading2"/>
      </w:pPr>
      <w:r>
        <w:rPr>
          <w:rFonts w:ascii="Montserrat" w:cs="Montserrat" w:eastAsia="Montserrat" w:hAnsi="Montserrat"/>
          <w:b/>
          <w:bCs/>
          <w:color w:val="0A1D3D"/>
          <w:sz w:val="24"/>
          <w:szCs w:val="24"/>
        </w:rPr>
        <w:t xml:space="preserve">F.6  Nomenclature et organisation des fichiers</w:t>
      </w:r>
    </w:p>
    <w:p>
      <w:pPr>
        <w:pStyle w:val="ListParagraph"/>
        <w:numPr>
          <w:ilvl w:val="0"/>
          <w:numId w:val="2"/>
        </w:numPr>
        <w:spacing w:after="70"/>
      </w:pPr>
      <w:r>
        <w:rPr>
          <w:rFonts w:ascii="Montserrat" w:cs="Montserrat" w:eastAsia="Montserrat" w:hAnsi="Montserrat"/>
          <w:color w:val="1E1E1E"/>
          <w:sz w:val="19"/>
          <w:szCs w:val="19"/>
        </w:rPr>
        <w:t xml:space="preserve">Préfixe TTG_ pour les modèles ; ne pas renommer les fichiers du kit logo (les gabarits y renvoient).</w:t>
      </w:r>
    </w:p>
    <w:p>
      <w:pPr>
        <w:pStyle w:val="ListParagraph"/>
        <w:numPr>
          <w:ilvl w:val="0"/>
          <w:numId w:val="2"/>
        </w:numPr>
        <w:spacing w:after="70"/>
      </w:pPr>
      <w:r>
        <w:rPr>
          <w:rFonts w:ascii="Montserrat" w:cs="Montserrat" w:eastAsia="Montserrat" w:hAnsi="Montserrat"/>
          <w:color w:val="1E1E1E"/>
          <w:sz w:val="19"/>
          <w:szCs w:val="19"/>
        </w:rPr>
        <w:t xml:space="preserve">Calques PSD nommés par préfixe : FOND_, ACCENT_, LOGO_, MOTIF_, TXT_, ICO_, PHOTO_, QR_, REPERE_ (calques REPERE_ masqués et non imprimables).</w:t>
      </w:r>
    </w:p>
    <w:p>
      <w:pPr>
        <w:pStyle w:val="ListParagraph"/>
        <w:numPr>
          <w:ilvl w:val="0"/>
          <w:numId w:val="2"/>
        </w:numPr>
        <w:spacing w:after="70"/>
      </w:pPr>
      <w:r>
        <w:rPr>
          <w:rFonts w:ascii="Montserrat" w:cs="Montserrat" w:eastAsia="Montserrat" w:hAnsi="Montserrat"/>
          <w:color w:val="1E1E1E"/>
          <w:sz w:val="19"/>
          <w:szCs w:val="19"/>
        </w:rPr>
        <w:t xml:space="preserve">Organisation : 01_Charte_Graphique, 02_Logo_Illustrator, 03_Carte_De_Visite, 04_Badge, 05_Applications, 06_Exports_Impression, 07_Sources_Et_Scripts, 08_Apercus.</w:t>
      </w:r>
    </w:p>
    <w:p>
      <w:pPr>
        <w:pStyle w:val="Heading1"/>
        <w:pageBreakBefore/>
      </w:pPr>
      <w:r>
        <w:rPr>
          <w:rFonts w:ascii="Montserrat" w:cs="Montserrat" w:eastAsia="Montserrat" w:hAnsi="Montserrat"/>
          <w:b/>
          <w:bCs/>
          <w:color w:val="0A1D3D"/>
          <w:sz w:val="34"/>
          <w:szCs w:val="34"/>
        </w:rPr>
        <w:t xml:space="preserve">Annexe — Limites techniques et écarts connus</w:t>
      </w:r>
    </w:p>
    <w:p>
      <w:pPr>
        <w:pStyle w:val="TTGCorps"/>
      </w:pPr>
      <w:r>
        <w:rPr>
          <w:rFonts w:ascii="Montserrat" w:cs="Montserrat" w:eastAsia="Montserrat" w:hAnsi="Montserrat"/>
          <w:color w:val="1E1E1E"/>
          <w:sz w:val="19"/>
          <w:szCs w:val="19"/>
        </w:rPr>
        <w:t xml:space="preserve">Ces limites sont signalées plutôt que masquées. Elles ne remettent pas en cause le dessin du logo, qui reste fidèle au fichier fourni.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0"/>
        <w:gridCol w:w="4396"/>
        <w:gridCol w:w="3382"/>
      </w:tblGrid>
      <w:tr>
        <w:trPr>
          <w:cantSplit/>
          <w:tblHeader/>
        </w:trPr>
        <w:tc>
          <w:tcPr>
            <w:tcW w:type="dxa" w:w="1860"/>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Sujet</w:t>
            </w:r>
          </w:p>
        </w:tc>
        <w:tc>
          <w:tcPr>
            <w:tcW w:type="dxa" w:w="4396"/>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Limite</w:t>
            </w:r>
          </w:p>
        </w:tc>
        <w:tc>
          <w:tcPr>
            <w:tcW w:type="dxa" w:w="3382"/>
            <w:tcBorders>
              <w:top w:val="single" w:color="E2E1E2" w:sz="4"/>
              <w:left w:val="single" w:color="E2E1E2" w:sz="4"/>
              <w:bottom w:val="single" w:color="E2E1E2" w:sz="4"/>
              <w:right w:val="single" w:color="E2E1E2" w:sz="4"/>
            </w:tcBorders>
            <w:shd w:fill="0A1D3D"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b/>
                <w:bCs/>
                <w:color w:val="FFFFFF"/>
                <w:sz w:val="16"/>
                <w:szCs w:val="16"/>
              </w:rPr>
              <w:t xml:space="preserve">Solution proposée</w:t>
            </w:r>
          </w:p>
        </w:tc>
      </w:tr>
      <w:tr>
        <w:trPr>
          <w:cantSplit/>
        </w:trPr>
        <w:tc>
          <w:tcPr>
            <w:tcW w:type="dxa" w:w="1860"/>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Fichier .ai natif</w:t>
            </w:r>
          </w:p>
        </w:tc>
        <w:tc>
          <w:tcPr>
            <w:tcW w:type="dxa" w:w="4396"/>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Non générable dans cet environnement ; aucun SVG n’a été renommé en .ai</w:t>
            </w:r>
          </w:p>
        </w:tc>
        <w:tc>
          <w:tcPr>
            <w:tcW w:type="dxa" w:w="338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SVG / PDF / EPS vectoriels + script JSX ; ouvrir puis enregistrer en .ai</w:t>
            </w:r>
          </w:p>
        </w:tc>
      </w:tr>
      <w:tr>
        <w:trPr>
          <w:cantSplit/>
        </w:trPr>
        <w:tc>
          <w:tcPr>
            <w:tcW w:type="dxa" w:w="1860"/>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Textes PSD</w:t>
            </w:r>
          </w:p>
        </w:tc>
        <w:tc>
          <w:tcPr>
            <w:tcW w:type="dxa" w:w="4396"/>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Les calques TXT_ sont des calques raster (pas des calques de texte natifs) ; les scripts JSX recréent des calques de texte Montserrat dans Photoshop mais </w:t>
            </w:r>
            <w:r>
              <w:rPr>
                <w:rFonts w:ascii="Montserrat" w:cs="Montserrat" w:eastAsia="Montserrat" w:hAnsi="Montserrat"/>
                <w:b/>
                <w:bCs/>
                <w:color w:val="1E1E1E"/>
                <w:sz w:val="16"/>
                <w:szCs w:val="16"/>
              </w:rPr>
              <w:t xml:space="preserve">n’ont pas été exécutés dans Adobe</w:t>
            </w:r>
          </w:p>
        </w:tc>
        <w:tc>
          <w:tcPr>
            <w:tcW w:type="dxa" w:w="3382"/>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Modifier le SVG (textes vivants) ou exécuter le script JSX</w:t>
            </w:r>
          </w:p>
        </w:tc>
      </w:tr>
      <w:tr>
        <w:trPr>
          <w:cantSplit/>
        </w:trPr>
        <w:tc>
          <w:tcPr>
            <w:tcW w:type="dxa" w:w="1860"/>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Source du logo</w:t>
            </w:r>
          </w:p>
        </w:tc>
        <w:tc>
          <w:tcPr>
            <w:tcW w:type="dxa" w:w="4396"/>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Basse résolution (370 × 109 px) : vectorisation à ±0,5 px source</w:t>
            </w:r>
          </w:p>
        </w:tc>
        <w:tc>
          <w:tcPr>
            <w:tcW w:type="dxa" w:w="338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PNG original conservé ; comparaison livrée</w:t>
            </w:r>
          </w:p>
        </w:tc>
      </w:tr>
      <w:tr>
        <w:trPr>
          <w:cantSplit/>
        </w:trPr>
        <w:tc>
          <w:tcPr>
            <w:tcW w:type="dxa" w:w="1860"/>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Nom de marque</w:t>
            </w:r>
          </w:p>
        </w:tc>
        <w:tc>
          <w:tcPr>
            <w:tcW w:type="dxa" w:w="4396"/>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Lettres tracées, pas en Montserrat ; non éditable comme du texte</w:t>
            </w:r>
          </w:p>
        </w:tc>
        <w:tc>
          <w:tcPr>
            <w:tcW w:type="dxa" w:w="3382"/>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Utiliser les fichiers du kit ; ne pas retaper</w:t>
            </w:r>
          </w:p>
        </w:tc>
      </w:tr>
      <w:tr>
        <w:trPr>
          <w:cantSplit/>
        </w:trPr>
        <w:tc>
          <w:tcPr>
            <w:tcW w:type="dxa" w:w="1860"/>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Emerald Green</w:t>
            </w:r>
          </w:p>
        </w:tc>
        <w:tc>
          <w:tcPr>
            <w:tcW w:type="dxa" w:w="4396"/>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Écart documenté / mesuré : ΔE 8,1 (logo plus sombre et moins saturé)</w:t>
            </w:r>
          </w:p>
        </w:tc>
        <w:tc>
          <w:tcPr>
            <w:tcW w:type="dxa" w:w="338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Valeur documentée sur les supports ; arbitrage de la direction de marque</w:t>
            </w:r>
          </w:p>
        </w:tc>
      </w:tr>
      <w:tr>
        <w:trPr>
          <w:cantSplit/>
        </w:trPr>
        <w:tc>
          <w:tcPr>
            <w:tcW w:type="dxa" w:w="1860"/>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Version horizontale</w:t>
            </w:r>
          </w:p>
        </w:tc>
        <w:tc>
          <w:tcPr>
            <w:tcW w:type="dxa" w:w="4396"/>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Présente sur la planche à très petite taille ; espacement reconstitué par mesure</w:t>
            </w:r>
          </w:p>
        </w:tc>
        <w:tc>
          <w:tcPr>
            <w:tcW w:type="dxa" w:w="3382"/>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Valider avant usage de grande diffusion</w:t>
            </w:r>
          </w:p>
        </w:tc>
      </w:tr>
      <w:tr>
        <w:trPr>
          <w:cantSplit/>
        </w:trPr>
        <w:tc>
          <w:tcPr>
            <w:tcW w:type="dxa" w:w="1860"/>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PDF d’impression</w:t>
            </w:r>
          </w:p>
        </w:tc>
        <w:tc>
          <w:tcPr>
            <w:tcW w:type="dxa" w:w="4396"/>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CMJN direct, sans profil incorporé ; non PDF/X</w:t>
            </w:r>
          </w:p>
        </w:tc>
        <w:tc>
          <w:tcPr>
            <w:tcW w:type="dxa" w:w="338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Faire convertir par l’imprimeur ou ré-exporter depuis InDesign/Acrobat</w:t>
            </w:r>
          </w:p>
        </w:tc>
      </w:tr>
      <w:tr>
        <w:trPr>
          <w:cantSplit/>
        </w:trPr>
        <w:tc>
          <w:tcPr>
            <w:tcW w:type="dxa" w:w="1860"/>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DOCX / PPTX</w:t>
            </w:r>
          </w:p>
        </w:tc>
        <w:tc>
          <w:tcPr>
            <w:tcW w:type="dxa" w:w="4396"/>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Montserrat non incorporée ; rendus contrôlés avec LibreOffice, pas avec Microsoft Office</w:t>
            </w:r>
          </w:p>
        </w:tc>
        <w:tc>
          <w:tcPr>
            <w:tcW w:type="dxa" w:w="3382"/>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Installer Montserrat ; vérifier dans Office</w:t>
            </w:r>
          </w:p>
        </w:tc>
      </w:tr>
      <w:tr>
        <w:trPr>
          <w:cantSplit/>
        </w:trPr>
        <w:tc>
          <w:tcPr>
            <w:tcW w:type="dxa" w:w="1860"/>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Signature e-mail</w:t>
            </w:r>
          </w:p>
        </w:tc>
        <w:tc>
          <w:tcPr>
            <w:tcW w:type="dxa" w:w="4396"/>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Non testée dans des clients de messagerie réels</w:t>
            </w:r>
          </w:p>
        </w:tc>
        <w:tc>
          <w:tcPr>
            <w:tcW w:type="dxa" w:w="338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Tester dans Outlook, Gmail et Apple Mail avant déploiement</w:t>
            </w:r>
          </w:p>
        </w:tc>
      </w:tr>
      <w:tr>
        <w:trPr>
          <w:cantSplit/>
        </w:trPr>
        <w:tc>
          <w:tcPr>
            <w:tcW w:type="dxa" w:w="1860"/>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Carte de visite</w:t>
            </w:r>
          </w:p>
        </w:tc>
        <w:tc>
          <w:tcPr>
            <w:tcW w:type="dxa" w:w="4396"/>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Maquette en perspective et basse résolution : positions à ±0,5 mm, teinte et rayon du motif approximatifs ; téléphone et e-mail illisibles</w:t>
            </w:r>
          </w:p>
        </w:tc>
        <w:tc>
          <w:tcPr>
            <w:tcW w:type="dxa" w:w="3382"/>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Champs à compléter ; superpositions de contrôle fournies</w:t>
            </w:r>
          </w:p>
        </w:tc>
      </w:tr>
      <w:tr>
        <w:trPr>
          <w:cantSplit/>
        </w:trPr>
        <w:tc>
          <w:tcPr>
            <w:tcW w:type="dxa" w:w="1860"/>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Photographies de la planche</w:t>
            </w:r>
          </w:p>
        </w:tc>
        <w:tc>
          <w:tcPr>
            <w:tcW w:type="dxa" w:w="4396"/>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Photographie de ville (site, application, présentation, signalétique) non reproduite</w:t>
            </w:r>
          </w:p>
        </w:tc>
        <w:tc>
          <w:tcPr>
            <w:tcW w:type="dxa" w:w="338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Remplacer par une photographie licenciée de TechnologyTrade Group</w:t>
            </w:r>
          </w:p>
        </w:tc>
      </w:tr>
      <w:tr>
        <w:trPr>
          <w:cantSplit/>
        </w:trPr>
        <w:tc>
          <w:tcPr>
            <w:tcW w:type="dxa" w:w="1860"/>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Teintes de sous-marques</w:t>
            </w:r>
          </w:p>
        </w:tc>
        <w:tc>
          <w:tcPr>
            <w:tcW w:type="dxa" w:w="4396"/>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Échantillonnées sur la planche, hors palette</w:t>
            </w:r>
          </w:p>
        </w:tc>
        <w:tc>
          <w:tcPr>
            <w:tcW w:type="dxa" w:w="3382"/>
            <w:tcBorders>
              <w:top w:val="single" w:color="E2E1E2" w:sz="4"/>
              <w:left w:val="single" w:color="E2E1E2" w:sz="4"/>
              <w:bottom w:val="single" w:color="E2E1E2" w:sz="4"/>
              <w:right w:val="single" w:color="E2E1E2" w:sz="4"/>
            </w:tcBorders>
            <w:shd w:fill="F2F4F7" w:color="auto" w:val="clear"/>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À valider</w:t>
            </w:r>
          </w:p>
        </w:tc>
      </w:tr>
      <w:tr>
        <w:trPr>
          <w:cantSplit/>
        </w:trPr>
        <w:tc>
          <w:tcPr>
            <w:tcW w:type="dxa" w:w="1860"/>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Formats de signalétique, post, bannière</w:t>
            </w:r>
          </w:p>
        </w:tc>
        <w:tc>
          <w:tcPr>
            <w:tcW w:type="dxa" w:w="4396"/>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Formats usuels, non imposés par la référence</w:t>
            </w:r>
          </w:p>
        </w:tc>
        <w:tc>
          <w:tcPr>
            <w:tcW w:type="dxa" w:w="3382"/>
            <w:tcBorders>
              <w:top w:val="single" w:color="E2E1E2" w:sz="4"/>
              <w:left w:val="single" w:color="E2E1E2" w:sz="4"/>
              <w:bottom w:val="single" w:color="E2E1E2" w:sz="4"/>
              <w:right w:val="single" w:color="E2E1E2" w:sz="4"/>
            </w:tcBorders>
            <w:tcMar>
              <w:top w:type="dxa" w:w="70"/>
              <w:left w:type="dxa" w:w="100"/>
              <w:bottom w:type="dxa" w:w="70"/>
              <w:right w:type="dxa" w:w="100"/>
            </w:tcMar>
            <w:vAlign w:val="center"/>
          </w:tcPr>
          <w:p>
            <w:pPr>
              <w:spacing w:after="30" w:line="264" w:lineRule="auto"/>
            </w:pPr>
            <w:r>
              <w:rPr>
                <w:rFonts w:ascii="Montserrat" w:cs="Montserrat" w:eastAsia="Montserrat" w:hAnsi="Montserrat"/>
                <w:color w:val="1E1E1E"/>
                <w:sz w:val="16"/>
                <w:szCs w:val="16"/>
              </w:rPr>
              <w:t xml:space="preserve">À confirmer selon plateforme et fabricant</w:t>
            </w:r>
          </w:p>
        </w:tc>
      </w:tr>
    </w:tbl>
    <w:sectPr>
      <w:headerReference w:type="default" r:id="rId9"/>
      <w:footerReference w:type="default" r:id="rId10"/>
      <w:pgSz w:w="11906" w:h="16838" w:orient="portrait"/>
      <w:pgMar w:top="1800" w:right="1134" w:bottom="1400" w:left="1134" w:header="7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Montserrat" w:cs="Montserrat" w:eastAsia="Montserrat" w:hAnsi="Montserrat"/>
        <w:color w:val="1E1E1E"/>
        <w:sz w:val="19"/>
        <w:szCs w:val="19"/>
      </w:rP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1E2" w:sz="4" w:space="6"/>
      </w:pBdr>
      <w:tabs>
        <w:tab w:val="right" w:pos="9638"/>
      </w:tabs>
      <w:spacing w:after="0"/>
    </w:pPr>
    <w:r>
      <w:rPr>
        <w:rFonts w:ascii="Montserrat" w:cs="Montserrat" w:eastAsia="Montserrat" w:hAnsi="Montserrat"/>
        <w:color w:val="626262"/>
        <w:sz w:val="15"/>
        <w:szCs w:val="15"/>
      </w:rPr>
      <w:t xml:space="preserve">TechnologyTrade Group  ·  Charte graphique  ·  v1.0</w:t>
    </w:r>
    <w:r>
      <w:rPr>
        <w:rFonts w:ascii="Montserrat" w:cs="Montserrat" w:eastAsia="Montserrat" w:hAnsi="Montserrat"/>
        <w:color w:val="626262"/>
        <w:sz w:val="15"/>
        <w:szCs w:val="15"/>
      </w:rPr>
      <w:t xml:space="preserve">	Page </w:t>
    </w:r>
    <w:r>
      <w:rPr>
        <w:rFonts w:ascii="Montserrat" w:cs="Montserrat" w:eastAsia="Montserrat" w:hAnsi="Montserrat"/>
        <w:color w:val="626262"/>
        <w:sz w:val="15"/>
        <w:szCs w:val="15"/>
      </w:rPr>
      <w:fldChar w:fldCharType="begin"/>
      <w:instrText xml:space="preserve">PAGE</w:instrText>
      <w:fldChar w:fldCharType="separate"/>
      <w:fldChar w:fldCharType="end"/>
    </w:r>
    <w:r>
      <w:rPr>
        <w:rFonts w:ascii="Montserrat" w:cs="Montserrat" w:eastAsia="Montserrat" w:hAnsi="Montserrat"/>
        <w:color w:val="626262"/>
        <w:sz w:val="15"/>
        <w:szCs w:val="15"/>
      </w:rPr>
      <w:t xml:space="preserve"> / </w:t>
    </w:r>
    <w:r>
      <w:rPr>
        <w:rFonts w:ascii="Montserrat" w:cs="Montserrat" w:eastAsia="Montserrat" w:hAnsi="Montserrat"/>
        <w:color w:val="62626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Montserrat" w:cs="Montserrat" w:eastAsia="Montserrat" w:hAnsi="Montserrat"/>
        <w:color w:val="1E1E1E"/>
        <w:sz w:val="19"/>
        <w:szCs w:val="19"/>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spacing w:after="0"/>
    </w:pPr>
    <w:r>
      <w:drawing>
        <wp:inline distT="0" distB="0" distL="0" distR="0">
          <wp:extent cx="1076325" cy="409575"/>
          <wp:effectExtent t="0" r="0" b="0" l="0"/>
          <wp:docPr id="1" name="Logo" descr="Logo officiel" title="Logo TechnologyTrad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76325" cy="409575"/>
                  </a:xfrm>
                  <a:prstGeom prst="rect">
                    <a:avLst/>
                  </a:prstGeom>
                </pic:spPr>
              </pic:pic>
            </a:graphicData>
          </a:graphic>
        </wp:inline>
      </w:drawing>
    </w:r>
    <w:r>
      <w:rPr>
        <w:rFonts w:ascii="Montserrat" w:cs="Montserrat" w:eastAsia="Montserrat" w:hAnsi="Montserrat"/>
        <w:color w:val="626262"/>
        <w:sz w:val="15"/>
        <w:szCs w:val="15"/>
      </w:rPr>
      <w:t xml:space="preserve">	Charte graphique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4" w:hanging="283"/>
      </w:pPr>
      <w:rPr>
        <w:color w:val="00A67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E1E1E"/>
        <w:sz w:val="19"/>
        <w:szCs w:val="19"/>
      </w:rPr>
    </w:rPrDefault>
    <w:pPrDefault>
      <w:pPr>
        <w:spacing w:after="120" w:line="31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0" w:line="276" w:lineRule="auto"/>
      <w:outlineLvl w:val="0"/>
    </w:pPr>
    <w:rPr>
      <w:rFonts w:ascii="Montserrat" w:cs="Montserrat" w:eastAsia="Montserrat" w:hAnsi="Montserrat"/>
      <w:b/>
      <w:bCs/>
      <w:color w:val="0A1D3D"/>
      <w:sz w:val="34"/>
      <w:szCs w:val="34"/>
    </w:rPr>
  </w:style>
  <w:style w:type="paragraph" w:styleId="Heading2">
    <w:name w:val="Heading 2"/>
    <w:basedOn w:val="Normal"/>
    <w:next w:val="Normal"/>
    <w:qFormat/>
    <w:pPr>
      <w:keepNext/>
      <w:spacing w:after="120" w:before="300" w:line="276" w:lineRule="auto"/>
      <w:outlineLvl w:val="1"/>
    </w:pPr>
    <w:rPr>
      <w:rFonts w:ascii="Montserrat" w:cs="Montserrat" w:eastAsia="Montserrat" w:hAnsi="Montserrat"/>
      <w:b/>
      <w:bCs/>
      <w:color w:val="0A1D3D"/>
      <w:sz w:val="24"/>
      <w:szCs w:val="24"/>
    </w:rPr>
  </w:style>
  <w:style w:type="paragraph" w:styleId="Heading3">
    <w:name w:val="Heading 3"/>
    <w:basedOn w:val="Normal"/>
    <w:next w:val="Normal"/>
    <w:qFormat/>
    <w:pPr>
      <w:keepNext/>
      <w:spacing w:after="80" w:before="220" w:line="276" w:lineRule="auto"/>
      <w:outlineLvl w:val="2"/>
    </w:pPr>
    <w:rPr>
      <w:rFonts w:ascii="Montserrat" w:cs="Montserrat" w:eastAsia="Montserrat" w:hAnsi="Montserrat"/>
      <w:b/>
      <w:bCs/>
      <w:color w:val="00A676"/>
      <w:sz w:val="20"/>
      <w:szCs w:val="20"/>
    </w:rPr>
  </w:style>
  <w:style w:type="paragraph" w:styleId="Heading4">
    <w:name w:val="Heading 4"/>
    <w:basedOn w:val="Normal"/>
    <w:next w:val="Normal"/>
    <w:qFormat/>
    <w:pPr>
      <w:keepNext/>
      <w:spacing w:after="60" w:before="160"/>
      <w:outlineLvl w:val="3"/>
    </w:pPr>
    <w:rPr>
      <w:rFonts w:ascii="Montserrat" w:cs="Montserrat" w:eastAsia="Montserrat" w:hAnsi="Montserrat"/>
      <w:b/>
      <w:bCs/>
      <w:color w:val="0A1D3D"/>
      <w:sz w:val="19"/>
      <w:szCs w:val="19"/>
    </w:rPr>
  </w:style>
  <w:style w:type="paragraph" w:styleId="Heading5">
    <w:name w:val="Heading 5"/>
    <w:basedOn w:val="Normal"/>
    <w:next w:val="Normal"/>
    <w:qFormat/>
    <w:pPr>
      <w:keepNext/>
      <w:spacing w:after="60" w:before="140"/>
      <w:outlineLvl w:val="4"/>
    </w:pPr>
    <w:rPr>
      <w:rFonts w:ascii="Montserrat" w:cs="Montserrat" w:eastAsia="Montserrat" w:hAnsi="Montserrat"/>
      <w:b/>
      <w:bCs/>
      <w:color w:val="1E1E1E"/>
      <w:sz w:val="19"/>
      <w:szCs w:val="19"/>
    </w:rPr>
  </w:style>
  <w:style w:type="paragraph" w:styleId="Heading6">
    <w:name w:val="Heading 6"/>
    <w:basedOn w:val="Normal"/>
    <w:next w:val="Normal"/>
    <w:qFormat/>
    <w:pPr>
      <w:keepNext/>
      <w:spacing w:after="60" w:before="120"/>
      <w:outlineLvl w:val="5"/>
    </w:pPr>
    <w:rPr>
      <w:rFonts w:ascii="Montserrat" w:cs="Montserrat" w:eastAsia="Montserrat" w:hAnsi="Montserrat"/>
      <w:b/>
      <w:bCs/>
      <w:color w:val="626262"/>
      <w:sz w:val="19"/>
      <w:szCs w:val="19"/>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rFonts w:ascii="Montserrat" w:cs="Montserrat" w:eastAsia="Montserrat" w:hAnsi="Montserrat"/>
      <w:color w:val="0A1D3D"/>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TGCorps">
    <w:name w:val="TTG Corps"/>
    <w:basedOn w:val="Normal"/>
    <w:qFormat/>
    <w:pPr>
      <w:spacing w:after="120" w:line="312" w:lineRule="auto"/>
      <w:jc w:val="left"/>
    </w:pPr>
    <w:rPr>
      <w:rFonts w:ascii="Montserrat" w:cs="Montserrat" w:eastAsia="Montserrat" w:hAnsi="Montserrat"/>
      <w:sz w:val="19"/>
      <w:szCs w:val="19"/>
    </w:rPr>
  </w:style>
  <w:style w:type="paragraph" w:styleId="TTGNote">
    <w:name w:val="TTG Note"/>
    <w:basedOn w:val="Normal"/>
    <w:qFormat/>
    <w:pPr>
      <w:spacing w:after="80" w:line="276" w:lineRule="auto"/>
    </w:pPr>
    <w:rPr>
      <w:rFonts w:ascii="Montserrat" w:cs="Montserrat" w:eastAsia="Montserrat" w:hAnsi="Montserrat"/>
      <w:color w:val="626262"/>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01e1df396a55345300e6eb3f0844c3ebcdd32faa.png"/><Relationship Id="rId12" Type="http://schemas.openxmlformats.org/officeDocument/2006/relationships/image" Target="media/3649a2859ea050e4f4f3990b8715894b690d893a.png"/><Relationship Id="rId13" Type="http://schemas.openxmlformats.org/officeDocument/2006/relationships/image" Target="media/cb3ba1c3b60838d68d660f317fe6b556d7e7f656.png"/><Relationship Id="rId14" Type="http://schemas.openxmlformats.org/officeDocument/2006/relationships/image" Target="media/714323491f52ac1b653c6cd53463aa55eb8abfc0.png"/><Relationship Id="rId15" Type="http://schemas.openxmlformats.org/officeDocument/2006/relationships/image" Target="media/356f65453b3e5c07bc6ded807c5bc9a6f67dd16a.png"/><Relationship Id="rId16" Type="http://schemas.openxmlformats.org/officeDocument/2006/relationships/image" Target="media/cd8f9759ae82b1fca064a5701cdb14d3036b63a9.png"/><Relationship Id="rId17" Type="http://schemas.openxmlformats.org/officeDocument/2006/relationships/image" Target="media/4c4647747f1072b483c899cb3dddba6b7602fe81.png"/><Relationship Id="rId18" Type="http://schemas.openxmlformats.org/officeDocument/2006/relationships/image" Target="media/d89c9d91bd98bd775f4f1e50b086757833a572bf.png"/><Relationship Id="rId19" Type="http://schemas.openxmlformats.org/officeDocument/2006/relationships/image" Target="media/6ac790b647b3e74f91bba2c53182cb506cb3a5ba.png"/><Relationship Id="rId20" Type="http://schemas.openxmlformats.org/officeDocument/2006/relationships/image" Target="media/4fcaff57009bd3b803420be33aec16bb97066a56.png"/><Relationship Id="rId21" Type="http://schemas.openxmlformats.org/officeDocument/2006/relationships/image" Target="media/6b3bf100b5996f510ebb7b4dbbff25f975f69076.png"/><Relationship Id="rId22" Type="http://schemas.openxmlformats.org/officeDocument/2006/relationships/image" Target="media/c85d5ec2b3aac3dbf950fa31caba546a6706d1c1.png"/><Relationship Id="rId23" Type="http://schemas.openxmlformats.org/officeDocument/2006/relationships/image" Target="media/a6b04cc1cbf08573ec98f01da5be795f9de19195.png"/><Relationship Id="rId24" Type="http://schemas.openxmlformats.org/officeDocument/2006/relationships/image" Target="media/d581313564539f1101a7a3f6533b8d4c3d02260e.png"/><Relationship Id="rId25" Type="http://schemas.openxmlformats.org/officeDocument/2006/relationships/image" Target="media/992a6d3ddcfca159de5308ed1e232d974798ec92.png"/><Relationship Id="rId26" Type="http://schemas.openxmlformats.org/officeDocument/2006/relationships/image" Target="media/5330b1b294fd3b25a91f0ea5cb697690e5e8c593.png"/><Relationship Id="rId27" Type="http://schemas.openxmlformats.org/officeDocument/2006/relationships/image" Target="media/846adde2d34abdd4c64ce2b8471b88e65c054e8a.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a88b0b04ae735be1aa8bd68c7144c03bd8f078e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 graphique TechnologyTrade Group</dc:title>
  <dc:creator>TechnologyTrade Group</dc:creator>
  <dc:description>Charte graphique : direction Hub of Continents</dc:description>
  <cp:lastModifiedBy>Un-named</cp:lastModifiedBy>
  <cp:revision>1</cp:revision>
  <dcterms:created xsi:type="dcterms:W3CDTF">2026-10-18T18:19:39.374Z</dcterms:created>
  <dcterms:modified xsi:type="dcterms:W3CDTF">2026-10-18T18:19:39.374Z</dcterms:modified>
</cp:coreProperties>
</file>

<file path=docProps/custom.xml><?xml version="1.0" encoding="utf-8"?>
<Properties xmlns="http://schemas.openxmlformats.org/officeDocument/2006/custom-properties" xmlns:vt="http://schemas.openxmlformats.org/officeDocument/2006/docPropsVTypes"/>
</file>