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1</w:t>
            </w:r>
          </w:p>
          <w:p>
            <w:pPr>
              <w:spacing w:after="200" w:line="252" w:lineRule="auto"/>
            </w:pPr>
            <w:r>
              <w:rPr>
                <w:b/>
                <w:color w:val="FFFFFF"/>
                <w:sz w:val="56"/>
              </w:rPr>
              <w:t>Grille tarifaire — Développement logiciel et plateformes</w:t>
            </w:r>
          </w:p>
          <w:p>
            <w:pPr>
              <w:spacing w:after="0" w:line="288" w:lineRule="auto"/>
            </w:pPr>
            <w:r>
              <w:rPr>
                <w:color w:val="D9EFE7"/>
                <w:sz w:val="24"/>
              </w:rPr>
              <w:t>Catégorie 1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TTG-GT-02-C01</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Développement logiciel et plateformes », leurs contenus, livrables, tarifs indicatifs, délais et conditions.</w:t>
      </w:r>
    </w:p>
    <w:p>
      <w:r>
        <w:rPr>
          <w:b/>
        </w:rPr>
        <w:t>Public concerné.</w:t>
      </w:r>
      <w:r>
        <w:t xml:space="preserve"> Institutions, ONG, ordres et associations, PME, organismes de formation et porteurs de projets qui veulent outiller un métier ou lancer une plateforme.</w:t>
      </w:r>
    </w:p>
    <w:p>
      <w:pPr>
        <w:pStyle w:val="Heading2"/>
      </w:pPr>
      <w:r>
        <w:t>Comment choisir</w:t>
      </w:r>
    </w:p>
    <w:p>
      <w:pPr>
        <w:pStyle w:val="ListBullet"/>
      </w:pPr>
      <w:r>
        <w:t xml:space="preserve">Un besoin précis sur un seul métier : </w:t>
      </w:r>
      <w:r>
        <w:rPr>
          <w:b/>
        </w:rPr>
        <w:t>LG01</w:t>
      </w:r>
      <w:r>
        <w:t xml:space="preserve"> (application web de gestion) ou une </w:t>
      </w:r>
      <w:r>
        <w:rPr>
          <w:b/>
        </w:rPr>
        <w:t>solution métier</w:t>
      </w:r>
      <w:r>
        <w:t xml:space="preserve"> SM01 à SM05 si elle correspond à votre secteur.</w:t>
      </w:r>
    </w:p>
    <w:p>
      <w:pPr>
        <w:pStyle w:val="ListBullet"/>
      </w:pPr>
      <w:r>
        <w:t xml:space="preserve">Plusieurs services partageant les mêmes données : </w:t>
      </w:r>
      <w:r>
        <w:rPr>
          <w:b/>
        </w:rPr>
        <w:t>LG02</w:t>
      </w:r>
      <w:r>
        <w:t xml:space="preserve"> (logiciel multi-modules) ou </w:t>
      </w:r>
      <w:r>
        <w:rPr>
          <w:b/>
        </w:rPr>
        <w:t>PL01</w:t>
      </w:r>
      <w:r>
        <w:t xml:space="preserve"> (plateforme web métier).</w:t>
      </w:r>
    </w:p>
    <w:p>
      <w:pPr>
        <w:pStyle w:val="ListBullet"/>
      </w:pPr>
      <w:r>
        <w:t xml:space="preserve">Relier des outils existants : </w:t>
      </w:r>
      <w:r>
        <w:rPr>
          <w:b/>
        </w:rPr>
        <w:t>LG05</w:t>
      </w:r>
      <w:r>
        <w:t xml:space="preserve">. Piloter par les chiffres : </w:t>
      </w:r>
      <w:r>
        <w:rPr>
          <w:b/>
        </w:rPr>
        <w:t>LG04</w:t>
      </w:r>
      <w:r>
        <w:t>.</w:t>
      </w:r>
    </w:p>
    <w:p>
      <w:pPr>
        <w:pStyle w:val="ListBullet"/>
      </w:pPr>
      <w:r>
        <w:t xml:space="preserve">Une application mobile : </w:t>
      </w:r>
      <w:r>
        <w:rPr>
          <w:b/>
        </w:rPr>
        <w:t>MO01</w:t>
      </w:r>
      <w:r>
        <w:t xml:space="preserve"> (Android), </w:t>
      </w:r>
      <w:r>
        <w:rPr>
          <w:b/>
        </w:rPr>
        <w:t>MO02</w:t>
      </w:r>
      <w:r>
        <w:t xml:space="preserve"> (Android et iOS) ou </w:t>
      </w:r>
      <w:r>
        <w:rPr>
          <w:b/>
        </w:rPr>
        <w:t>MO03</w:t>
      </w:r>
      <w:r>
        <w:t xml:space="preserve"> (application compagnon d’une plateforme existante).</w:t>
      </w:r>
    </w:p>
    <w:p>
      <w:pPr>
        <w:pStyle w:val="ListBullet"/>
      </w:pPr>
      <w:r>
        <w:t xml:space="preserve">Un marché en ligne entre acheteurs et prestataires : </w:t>
      </w:r>
      <w:r>
        <w:rPr>
          <w:b/>
        </w:rPr>
        <w:t>PL02</w:t>
      </w:r>
      <w:r>
        <w:t>, après validation du modèle et du cadre applicable.</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PL01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Plateforme web métier (version initiale)</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4 900 000 – 9 800 000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10 à 16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PL02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Place de marché (version initiale)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8 100 000 – 16 200 000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16 à 24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PL03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Portail clients / espace membre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2 050 000 – 4 100 000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6 à 10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PL04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Plateforme de formation en ligne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2 600 000 – 5 200 000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8 à 14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PL05</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Plateforme de gestion de dossiers et d’appels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3 700 000 – 7 400 000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10 à 16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LG01</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Application web de gestion (module unique)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1 850 000 – 3 700 000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 à 8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LG02</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Logiciel de gestion multi-modules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9 300 000 – 18 600 000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4 à 8 mois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LG03</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Logiciel de facturation et gestion commerciale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1 750 000 – 3 500 000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6 à 9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LG04</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Tableau de bord décisionnel</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1 200 000 – 2 400 000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3 à 5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LG05</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Intégration et interconnexion de systèmes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1 100 000 – 2 150 000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3 à 6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MO01</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Application mobile (Android)</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2 750 000 – 5 500 000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8 à 12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MO02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Application mobile multiplateforme (Android et iOS)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3 950 000 – 7 900 000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10 à 16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MO03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Application mobile compagnon de plateforme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2 050 000 – 4 100 000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6 à 10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SM01</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Gestion de membres et de cotisations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2 600 000 – 5 200 000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8 à 12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SM02</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Gestion d’établissement de formation</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2 500 000 – 5 000 000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8 à 12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SM03</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Suivi-évaluation de projets (ONG)</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2 550 000 – 5 100 000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8 à 12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SM04</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Gestion commerciale et de stocks pour PME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2 100 000 – 4 250 000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8 à 12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SM05</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Dématérialisation de dossiers et gestion documentaire</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1 850 000 – 3 700 000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6 à 10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bl>
    <w:p>
      <w:pPr>
        <w:spacing w:after="80"/>
      </w:pPr>
    </w:p>
    <w:p>
      <w:pPr>
        <w:spacing w:after="0"/>
      </w:pPr>
      <w:r>
        <w:br w:type="page"/>
      </w:r>
    </w:p>
    <w:p>
      <w:pPr>
        <w:pStyle w:val="Heading1"/>
        <w:pBdr>
          <w:bottom w:val="single" w:sz="6" w:space="4" w:color="00A676"/>
        </w:pBdr>
      </w:pPr>
      <w:r>
        <w:t>3. Fiches détaillées des offres</w:t>
      </w:r>
    </w:p>
    <w:p>
      <w:pPr>
        <w:pStyle w:val="Heading2"/>
      </w:pPr>
      <w:r>
        <w:t>Plateformes numériques</w:t>
      </w:r>
    </w:p>
    <w:p>
      <w:pPr>
        <w:keepNext/>
        <w:spacing w:after="120"/>
      </w:pPr>
      <w:r>
        <w:rPr>
          <w:color w:val="626262"/>
          <w:sz w:val="18"/>
        </w:rPr>
        <w:t>Plateformes web sur mesure : portails, places de marché, formation en ligne, gestion de dossiers.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PL01   </w:t>
            </w:r>
            <w:r>
              <w:rPr>
                <w:b/>
                <w:color w:val="FFFFFF"/>
                <w:sz w:val="20"/>
              </w:rPr>
              <w:t>Plateforme web métier (version initiale)</w:t>
            </w:r>
            <w:r>
              <w:rPr>
                <w:b/>
                <w:color w:val="FFFFFF"/>
                <w:sz w:val="19"/>
              </w:rPr>
              <w:tab/>
              <w:t>4 900 000 – 9 800 000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Plateforme web sur mesure couvrant un cœur de processus métier : comptes, workflow, tableaux de bord et notifications.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fonctionnel et spécifications</w:t>
            </w:r>
          </w:p>
          <w:p>
            <w:pPr>
              <w:pStyle w:val="TTGCell"/>
              <w:keepNext/>
              <w:keepLines/>
              <w:ind w:left="170" w:hanging="170"/>
            </w:pPr>
            <w:r>
              <w:rPr>
                <w:b/>
                <w:color w:val="00A676"/>
                <w:sz w:val="16"/>
              </w:rPr>
              <w:t xml:space="preserve">• </w:t>
            </w:r>
            <w:r>
              <w:rPr>
                <w:sz w:val="16"/>
              </w:rPr>
              <w:t>Gestion des comptes, des rôles et des droits</w:t>
            </w:r>
          </w:p>
          <w:p>
            <w:pPr>
              <w:pStyle w:val="TTGCell"/>
              <w:keepNext/>
              <w:keepLines/>
              <w:ind w:left="170" w:hanging="170"/>
            </w:pPr>
            <w:r>
              <w:rPr>
                <w:b/>
                <w:color w:val="00A676"/>
                <w:sz w:val="16"/>
              </w:rPr>
              <w:t xml:space="preserve">• </w:t>
            </w:r>
            <w:r>
              <w:rPr>
                <w:sz w:val="16"/>
              </w:rPr>
              <w:t>Un parcours métier principal avec validations</w:t>
            </w:r>
          </w:p>
          <w:p>
            <w:pPr>
              <w:pStyle w:val="TTGCell"/>
              <w:keepNext/>
              <w:keepLines/>
              <w:ind w:left="170" w:hanging="170"/>
            </w:pPr>
            <w:r>
              <w:rPr>
                <w:b/>
                <w:color w:val="00A676"/>
                <w:sz w:val="16"/>
              </w:rPr>
              <w:t xml:space="preserve">• </w:t>
            </w:r>
            <w:r>
              <w:rPr>
                <w:sz w:val="16"/>
              </w:rPr>
              <w:t>Tableau de bord et exports</w:t>
            </w:r>
          </w:p>
          <w:p>
            <w:pPr>
              <w:pStyle w:val="TTGCell"/>
              <w:keepNext/>
              <w:keepLines/>
              <w:ind w:left="170" w:hanging="170"/>
            </w:pPr>
            <w:r>
              <w:rPr>
                <w:b/>
                <w:color w:val="00A676"/>
                <w:sz w:val="16"/>
              </w:rPr>
              <w:t xml:space="preserve">• </w:t>
            </w:r>
            <w:r>
              <w:rPr>
                <w:sz w:val="16"/>
              </w:rPr>
              <w:t>Hébergement de recette et mise en production</w:t>
            </w:r>
          </w:p>
          <w:p>
            <w:pPr>
              <w:pStyle w:val="TTGCell"/>
              <w:keepNext/>
              <w:keepLines/>
              <w:ind w:left="170" w:hanging="170"/>
            </w:pPr>
            <w:r>
              <w:rPr>
                <w:b/>
                <w:color w:val="00A676"/>
                <w:sz w:val="16"/>
              </w:rPr>
              <w:t xml:space="preserve">• </w:t>
            </w:r>
            <w:r>
              <w:rPr>
                <w:sz w:val="16"/>
              </w:rPr>
              <w:t>Formation des utilisateurs clés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Spécifications validées</w:t>
            </w:r>
          </w:p>
          <w:p>
            <w:pPr>
              <w:pStyle w:val="TTGCell"/>
              <w:keepNext/>
              <w:keepLines/>
              <w:ind w:left="170" w:hanging="170"/>
            </w:pPr>
            <w:r>
              <w:rPr>
                <w:b/>
                <w:color w:val="00A676"/>
                <w:sz w:val="16"/>
              </w:rPr>
              <w:t xml:space="preserve">• </w:t>
            </w:r>
            <w:r>
              <w:rPr>
                <w:sz w:val="16"/>
              </w:rPr>
              <w:t>Maquettes</w:t>
            </w:r>
          </w:p>
          <w:p>
            <w:pPr>
              <w:pStyle w:val="TTGCell"/>
              <w:keepNext/>
              <w:keepLines/>
              <w:ind w:left="170" w:hanging="170"/>
            </w:pPr>
            <w:r>
              <w:rPr>
                <w:b/>
                <w:color w:val="00A676"/>
                <w:sz w:val="16"/>
              </w:rPr>
              <w:t xml:space="preserve">• </w:t>
            </w:r>
            <w:r>
              <w:rPr>
                <w:sz w:val="16"/>
              </w:rPr>
              <w:t>Plateforme en production</w:t>
            </w:r>
          </w:p>
          <w:p>
            <w:pPr>
              <w:pStyle w:val="TTGCell"/>
              <w:keepNext/>
              <w:keepLines/>
              <w:ind w:left="170" w:hanging="170"/>
            </w:pPr>
            <w:r>
              <w:rPr>
                <w:b/>
                <w:color w:val="00A676"/>
                <w:sz w:val="16"/>
              </w:rPr>
              <w:t xml:space="preserve">• </w:t>
            </w:r>
            <w:r>
              <w:rPr>
                <w:sz w:val="16"/>
              </w:rPr>
              <w:t>Documentation utilisateur et technique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10 à 16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Intégrations tierces non listées</w:t>
            </w:r>
          </w:p>
          <w:p>
            <w:pPr>
              <w:pStyle w:val="TTGCell"/>
              <w:keepNext w:val="0"/>
              <w:keepLines/>
              <w:ind w:left="170" w:hanging="170"/>
            </w:pPr>
            <w:r>
              <w:rPr>
                <w:b/>
                <w:color w:val="00A676"/>
                <w:sz w:val="16"/>
              </w:rPr>
              <w:t xml:space="preserve">• </w:t>
            </w:r>
            <w:r>
              <w:rPr>
                <w:sz w:val="16"/>
              </w:rPr>
              <w:t>Applications mobiles</w:t>
            </w:r>
          </w:p>
          <w:p>
            <w:pPr>
              <w:pStyle w:val="TTGCell"/>
              <w:keepNext w:val="0"/>
              <w:keepLines/>
              <w:ind w:left="170" w:hanging="170"/>
            </w:pPr>
            <w:r>
              <w:rPr>
                <w:b/>
                <w:color w:val="00A676"/>
                <w:sz w:val="16"/>
              </w:rPr>
              <w:t xml:space="preserve">• </w:t>
            </w:r>
            <w:r>
              <w:rPr>
                <w:sz w:val="16"/>
              </w:rPr>
              <w:t>Migration de données volumineuses</w:t>
            </w:r>
          </w:p>
          <w:p>
            <w:pPr>
              <w:pStyle w:val="TTGCell"/>
              <w:keepNext w:val="0"/>
              <w:keepLines/>
              <w:ind w:left="170" w:hanging="170"/>
            </w:pPr>
            <w:r>
              <w:rPr>
                <w:b/>
                <w:color w:val="00A676"/>
                <w:sz w:val="16"/>
              </w:rPr>
              <w:t xml:space="preserve">• </w:t>
            </w:r>
            <w:r>
              <w:rPr>
                <w:sz w:val="16"/>
              </w:rPr>
              <w:t>Exploitation après garantie (voir maintenance)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rôles et de parcours</w:t>
            </w:r>
          </w:p>
          <w:p>
            <w:pPr>
              <w:pStyle w:val="TTGCell"/>
              <w:keepNext w:val="0"/>
              <w:keepLines/>
              <w:ind w:left="170" w:hanging="170"/>
            </w:pPr>
            <w:r>
              <w:rPr>
                <w:b/>
                <w:color w:val="00A676"/>
                <w:sz w:val="16"/>
              </w:rPr>
              <w:t xml:space="preserve">• </w:t>
            </w:r>
            <w:r>
              <w:rPr>
                <w:sz w:val="16"/>
              </w:rPr>
              <w:t>Intégrations (paiement, SMS, messagerie)</w:t>
            </w:r>
          </w:p>
          <w:p>
            <w:pPr>
              <w:pStyle w:val="TTGCell"/>
              <w:keepNext w:val="0"/>
              <w:keepLines/>
              <w:ind w:left="170" w:hanging="170"/>
            </w:pPr>
            <w:r>
              <w:rPr>
                <w:b/>
                <w:color w:val="00A676"/>
                <w:sz w:val="16"/>
              </w:rPr>
              <w:t xml:space="preserve">• </w:t>
            </w:r>
            <w:r>
              <w:rPr>
                <w:sz w:val="16"/>
              </w:rPr>
              <w:t>Volumétrie et niveau de sécurité</w:t>
            </w:r>
          </w:p>
          <w:p>
            <w:pPr>
              <w:pStyle w:val="TTGCell"/>
              <w:keepNext w:val="0"/>
              <w:keepLines/>
              <w:ind w:left="170" w:hanging="170"/>
            </w:pPr>
            <w:r>
              <w:rPr>
                <w:b/>
                <w:color w:val="00A676"/>
                <w:sz w:val="16"/>
              </w:rPr>
              <w:t xml:space="preserve">• </w:t>
            </w:r>
            <w:r>
              <w:rPr>
                <w:sz w:val="16"/>
              </w:rPr>
              <w:t>Langues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PL02   </w:t>
            </w:r>
            <w:r>
              <w:rPr>
                <w:b/>
                <w:color w:val="FFFFFF"/>
                <w:sz w:val="20"/>
              </w:rPr>
              <w:t>Place de marché (version initiale)</w:t>
            </w:r>
            <w:r>
              <w:rPr>
                <w:b/>
                <w:color w:val="FFFFFF"/>
                <w:sz w:val="19"/>
              </w:rPr>
              <w:tab/>
              <w:t>8 100 000 – 16 200 000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Marketplace reliant acheteurs et prestataires : catalogues, demandes, devis, messagerie et suivi des transactions.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Espaces acheteur, prestataire et administrateur</w:t>
            </w:r>
          </w:p>
          <w:p>
            <w:pPr>
              <w:pStyle w:val="TTGCell"/>
              <w:keepNext/>
              <w:keepLines/>
              <w:ind w:left="170" w:hanging="170"/>
            </w:pPr>
            <w:r>
              <w:rPr>
                <w:b/>
                <w:color w:val="00A676"/>
                <w:sz w:val="16"/>
              </w:rPr>
              <w:t xml:space="preserve">• </w:t>
            </w:r>
            <w:r>
              <w:rPr>
                <w:sz w:val="16"/>
              </w:rPr>
              <w:t>Catalogue d’offres, recherche et filtres</w:t>
            </w:r>
          </w:p>
          <w:p>
            <w:pPr>
              <w:pStyle w:val="TTGCell"/>
              <w:keepNext/>
              <w:keepLines/>
              <w:ind w:left="170" w:hanging="170"/>
            </w:pPr>
            <w:r>
              <w:rPr>
                <w:b/>
                <w:color w:val="00A676"/>
                <w:sz w:val="16"/>
              </w:rPr>
              <w:t xml:space="preserve">• </w:t>
            </w:r>
            <w:r>
              <w:rPr>
                <w:sz w:val="16"/>
              </w:rPr>
              <w:t>Demandes de devis et messagerie</w:t>
            </w:r>
          </w:p>
          <w:p>
            <w:pPr>
              <w:pStyle w:val="TTGCell"/>
              <w:keepNext/>
              <w:keepLines/>
              <w:ind w:left="170" w:hanging="170"/>
            </w:pPr>
            <w:r>
              <w:rPr>
                <w:b/>
                <w:color w:val="00A676"/>
                <w:sz w:val="16"/>
              </w:rPr>
              <w:t xml:space="preserve">• </w:t>
            </w:r>
            <w:r>
              <w:rPr>
                <w:sz w:val="16"/>
              </w:rPr>
              <w:t>Validation des prestataires et modération</w:t>
            </w:r>
          </w:p>
          <w:p>
            <w:pPr>
              <w:pStyle w:val="TTGCell"/>
              <w:keepNext/>
              <w:keepLines/>
              <w:ind w:left="170" w:hanging="170"/>
            </w:pPr>
            <w:r>
              <w:rPr>
                <w:b/>
                <w:color w:val="00A676"/>
                <w:sz w:val="16"/>
              </w:rPr>
              <w:t xml:space="preserve">• </w:t>
            </w:r>
            <w:r>
              <w:rPr>
                <w:sz w:val="16"/>
              </w:rPr>
              <w:t>Tableau de bord d’administration</w:t>
            </w:r>
          </w:p>
          <w:p>
            <w:pPr>
              <w:pStyle w:val="TTGCell"/>
              <w:keepNext/>
              <w:keepLines/>
              <w:ind w:left="170" w:hanging="170"/>
            </w:pPr>
            <w:r>
              <w:rPr>
                <w:b/>
                <w:color w:val="00A676"/>
                <w:sz w:val="16"/>
              </w:rPr>
              <w:t xml:space="preserve">• </w:t>
            </w:r>
            <w:r>
              <w:rPr>
                <w:sz w:val="16"/>
              </w:rPr>
              <w:t>Hébergement de recette et mise en production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Cahier des charges validé</w:t>
            </w:r>
          </w:p>
          <w:p>
            <w:pPr>
              <w:pStyle w:val="TTGCell"/>
              <w:keepNext/>
              <w:keepLines/>
              <w:ind w:left="170" w:hanging="170"/>
            </w:pPr>
            <w:r>
              <w:rPr>
                <w:b/>
                <w:color w:val="00A676"/>
                <w:sz w:val="16"/>
              </w:rPr>
              <w:t xml:space="preserve">• </w:t>
            </w:r>
            <w:r>
              <w:rPr>
                <w:sz w:val="16"/>
              </w:rPr>
              <w:t>Maquettes</w:t>
            </w:r>
          </w:p>
          <w:p>
            <w:pPr>
              <w:pStyle w:val="TTGCell"/>
              <w:keepNext/>
              <w:keepLines/>
              <w:ind w:left="170" w:hanging="170"/>
            </w:pPr>
            <w:r>
              <w:rPr>
                <w:b/>
                <w:color w:val="00A676"/>
                <w:sz w:val="16"/>
              </w:rPr>
              <w:t xml:space="preserve">• </w:t>
            </w:r>
            <w:r>
              <w:rPr>
                <w:sz w:val="16"/>
              </w:rPr>
              <w:t>Marketplace en production</w:t>
            </w:r>
          </w:p>
          <w:p>
            <w:pPr>
              <w:pStyle w:val="TTGCell"/>
              <w:keepNext/>
              <w:keepLines/>
              <w:ind w:left="170" w:hanging="170"/>
            </w:pPr>
            <w:r>
              <w:rPr>
                <w:b/>
                <w:color w:val="00A676"/>
                <w:sz w:val="16"/>
              </w:rPr>
              <w:t xml:space="preserve">• </w:t>
            </w:r>
            <w:r>
              <w:rPr>
                <w:sz w:val="16"/>
              </w:rPr>
              <w:t>Documentation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16 à 24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Paiement en ligne et séquestre (prestataire agréé requis)</w:t>
            </w:r>
          </w:p>
          <w:p>
            <w:pPr>
              <w:pStyle w:val="TTGCell"/>
              <w:keepNext w:val="0"/>
              <w:keepLines/>
              <w:ind w:left="170" w:hanging="170"/>
            </w:pPr>
            <w:r>
              <w:rPr>
                <w:b/>
                <w:color w:val="00A676"/>
                <w:sz w:val="16"/>
              </w:rPr>
              <w:t xml:space="preserve">• </w:t>
            </w:r>
            <w:r>
              <w:rPr>
                <w:sz w:val="16"/>
              </w:rPr>
              <w:t>Applications mobiles</w:t>
            </w:r>
          </w:p>
          <w:p>
            <w:pPr>
              <w:pStyle w:val="TTGCell"/>
              <w:keepNext w:val="0"/>
              <w:keepLines/>
              <w:ind w:left="170" w:hanging="170"/>
            </w:pPr>
            <w:r>
              <w:rPr>
                <w:b/>
                <w:color w:val="00A676"/>
                <w:sz w:val="16"/>
              </w:rPr>
              <w:t xml:space="preserve">• </w:t>
            </w:r>
            <w:r>
              <w:rPr>
                <w:sz w:val="16"/>
              </w:rPr>
              <w:t>Animation et recrutement de prestataires</w:t>
            </w:r>
          </w:p>
          <w:p>
            <w:pPr>
              <w:pStyle w:val="TTGCell"/>
              <w:keepNext w:val="0"/>
              <w:keepLines/>
              <w:ind w:left="170" w:hanging="170"/>
            </w:pPr>
            <w:r>
              <w:rPr>
                <w:b/>
                <w:color w:val="00A676"/>
                <w:sz w:val="16"/>
              </w:rPr>
              <w:t xml:space="preserve">• </w:t>
            </w:r>
            <w:r>
              <w:rPr>
                <w:sz w:val="16"/>
              </w:rPr>
              <w:t>Obligations réglementaires de l’intermédiation (à valider)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types d’acteurs</w:t>
            </w:r>
          </w:p>
          <w:p>
            <w:pPr>
              <w:pStyle w:val="TTGCell"/>
              <w:keepNext w:val="0"/>
              <w:keepLines/>
              <w:ind w:left="170" w:hanging="170"/>
            </w:pPr>
            <w:r>
              <w:rPr>
                <w:b/>
                <w:color w:val="00A676"/>
                <w:sz w:val="16"/>
              </w:rPr>
              <w:t xml:space="preserve">• </w:t>
            </w:r>
            <w:r>
              <w:rPr>
                <w:sz w:val="16"/>
              </w:rPr>
              <w:t>Modèle de commission</w:t>
            </w:r>
          </w:p>
          <w:p>
            <w:pPr>
              <w:pStyle w:val="TTGCell"/>
              <w:keepNext w:val="0"/>
              <w:keepLines/>
              <w:ind w:left="170" w:hanging="170"/>
            </w:pPr>
            <w:r>
              <w:rPr>
                <w:b/>
                <w:color w:val="00A676"/>
                <w:sz w:val="16"/>
              </w:rPr>
              <w:t xml:space="preserve">• </w:t>
            </w:r>
            <w:r>
              <w:rPr>
                <w:sz w:val="16"/>
              </w:rPr>
              <w:t>Intégration de paiement</w:t>
            </w:r>
          </w:p>
          <w:p>
            <w:pPr>
              <w:pStyle w:val="TTGCell"/>
              <w:keepNext w:val="0"/>
              <w:keepLines/>
              <w:ind w:left="170" w:hanging="170"/>
            </w:pPr>
            <w:r>
              <w:rPr>
                <w:b/>
                <w:color w:val="00A676"/>
                <w:sz w:val="16"/>
              </w:rPr>
              <w:t xml:space="preserve">• </w:t>
            </w:r>
            <w:r>
              <w:rPr>
                <w:sz w:val="16"/>
              </w:rPr>
              <w:t>Niveau de modération</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PL03   </w:t>
            </w:r>
            <w:r>
              <w:rPr>
                <w:b/>
                <w:color w:val="FFFFFF"/>
                <w:sz w:val="20"/>
              </w:rPr>
              <w:t>Portail clients / espace membre</w:t>
            </w:r>
            <w:r>
              <w:rPr>
                <w:b/>
                <w:color w:val="FFFFFF"/>
                <w:sz w:val="19"/>
              </w:rPr>
              <w:tab/>
              <w:t>2 050 000 – 4 100 000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Espace sécurisé permettant aux clients ou membres de suivre leurs dossiers, documents, factures et demandes.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Authentification et gestion des profils</w:t>
            </w:r>
          </w:p>
          <w:p>
            <w:pPr>
              <w:pStyle w:val="TTGCell"/>
              <w:keepNext/>
              <w:keepLines/>
              <w:ind w:left="170" w:hanging="170"/>
            </w:pPr>
            <w:r>
              <w:rPr>
                <w:b/>
                <w:color w:val="00A676"/>
                <w:sz w:val="16"/>
              </w:rPr>
              <w:t xml:space="preserve">• </w:t>
            </w:r>
            <w:r>
              <w:rPr>
                <w:sz w:val="16"/>
              </w:rPr>
              <w:t>Espace documents et téléchargements</w:t>
            </w:r>
          </w:p>
          <w:p>
            <w:pPr>
              <w:pStyle w:val="TTGCell"/>
              <w:keepNext/>
              <w:keepLines/>
              <w:ind w:left="170" w:hanging="170"/>
            </w:pPr>
            <w:r>
              <w:rPr>
                <w:b/>
                <w:color w:val="00A676"/>
                <w:sz w:val="16"/>
              </w:rPr>
              <w:t xml:space="preserve">• </w:t>
            </w:r>
            <w:r>
              <w:rPr>
                <w:sz w:val="16"/>
              </w:rPr>
              <w:t>Suivi de dossiers et notifications par e-mail</w:t>
            </w:r>
          </w:p>
          <w:p>
            <w:pPr>
              <w:pStyle w:val="TTGCell"/>
              <w:keepNext/>
              <w:keepLines/>
              <w:ind w:left="170" w:hanging="170"/>
            </w:pPr>
            <w:r>
              <w:rPr>
                <w:b/>
                <w:color w:val="00A676"/>
                <w:sz w:val="16"/>
              </w:rPr>
              <w:t xml:space="preserve">• </w:t>
            </w:r>
            <w:r>
              <w:rPr>
                <w:sz w:val="16"/>
              </w:rPr>
              <w:t>Administration des comptes</w:t>
            </w:r>
          </w:p>
          <w:p>
            <w:pPr>
              <w:pStyle w:val="TTGCell"/>
              <w:keepNext/>
              <w:keepLines/>
              <w:ind w:left="170" w:hanging="170"/>
            </w:pPr>
            <w:r>
              <w:rPr>
                <w:b/>
                <w:color w:val="00A676"/>
                <w:sz w:val="16"/>
              </w:rPr>
              <w:t xml:space="preserve">• </w:t>
            </w:r>
            <w:r>
              <w:rPr>
                <w:sz w:val="16"/>
              </w:rPr>
              <w:t>Mise en production et 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Portail en production</w:t>
            </w:r>
          </w:p>
          <w:p>
            <w:pPr>
              <w:pStyle w:val="TTGCell"/>
              <w:keepNext/>
              <w:keepLines/>
              <w:ind w:left="170" w:hanging="170"/>
            </w:pPr>
            <w:r>
              <w:rPr>
                <w:b/>
                <w:color w:val="00A676"/>
                <w:sz w:val="16"/>
              </w:rPr>
              <w:t xml:space="preserve">• </w:t>
            </w:r>
            <w:r>
              <w:rPr>
                <w:sz w:val="16"/>
              </w:rPr>
              <w:t>Guide administrateur</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10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Intégration à un logiciel de gestion existant (sur devis)</w:t>
            </w:r>
          </w:p>
          <w:p>
            <w:pPr>
              <w:pStyle w:val="TTGCell"/>
              <w:keepNext w:val="0"/>
              <w:keepLines/>
              <w:ind w:left="170" w:hanging="170"/>
            </w:pPr>
            <w:r>
              <w:rPr>
                <w:b/>
                <w:color w:val="00A676"/>
                <w:sz w:val="16"/>
              </w:rPr>
              <w:t xml:space="preserve">• </w:t>
            </w:r>
            <w:r>
              <w:rPr>
                <w:sz w:val="16"/>
              </w:rPr>
              <w:t>Paiement en ligne</w:t>
            </w:r>
          </w:p>
          <w:p>
            <w:pPr>
              <w:pStyle w:val="TTGCell"/>
              <w:keepNext w:val="0"/>
              <w:keepLines/>
              <w:ind w:left="170" w:hanging="170"/>
            </w:pPr>
            <w:r>
              <w:rPr>
                <w:b/>
                <w:color w:val="00A676"/>
                <w:sz w:val="16"/>
              </w:rPr>
              <w:t xml:space="preserve">• </w:t>
            </w:r>
            <w:r>
              <w:rPr>
                <w:sz w:val="16"/>
              </w:rPr>
              <w:t>Application mobile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Types de dossiers</w:t>
            </w:r>
          </w:p>
          <w:p>
            <w:pPr>
              <w:pStyle w:val="TTGCell"/>
              <w:keepNext w:val="0"/>
              <w:keepLines/>
              <w:ind w:left="170" w:hanging="170"/>
            </w:pPr>
            <w:r>
              <w:rPr>
                <w:b/>
                <w:color w:val="00A676"/>
                <w:sz w:val="16"/>
              </w:rPr>
              <w:t xml:space="preserve">• </w:t>
            </w:r>
            <w:r>
              <w:rPr>
                <w:sz w:val="16"/>
              </w:rPr>
              <w:t>Intégrations avec l’existant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PL04   </w:t>
            </w:r>
            <w:r>
              <w:rPr>
                <w:b/>
                <w:color w:val="FFFFFF"/>
                <w:sz w:val="20"/>
              </w:rPr>
              <w:t>Plateforme de formation en ligne</w:t>
            </w:r>
            <w:r>
              <w:rPr>
                <w:b/>
                <w:color w:val="FFFFFF"/>
                <w:sz w:val="19"/>
              </w:rPr>
              <w:tab/>
              <w:t>2 600 000 – 5 200 000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Plateforme d’apprentissage avec cours, évaluations, suivi des apprenants et attestations.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Catalogue de cours et inscriptions</w:t>
            </w:r>
          </w:p>
          <w:p>
            <w:pPr>
              <w:pStyle w:val="TTGCell"/>
              <w:keepNext/>
              <w:keepLines/>
              <w:ind w:left="170" w:hanging="170"/>
            </w:pPr>
            <w:r>
              <w:rPr>
                <w:b/>
                <w:color w:val="00A676"/>
                <w:sz w:val="16"/>
              </w:rPr>
              <w:t xml:space="preserve">• </w:t>
            </w:r>
            <w:r>
              <w:rPr>
                <w:sz w:val="16"/>
              </w:rPr>
              <w:t>Lecteur de contenus (texte, PDF, vidéo hébergée)</w:t>
            </w:r>
          </w:p>
          <w:p>
            <w:pPr>
              <w:pStyle w:val="TTGCell"/>
              <w:keepNext/>
              <w:keepLines/>
              <w:ind w:left="170" w:hanging="170"/>
            </w:pPr>
            <w:r>
              <w:rPr>
                <w:b/>
                <w:color w:val="00A676"/>
                <w:sz w:val="16"/>
              </w:rPr>
              <w:t xml:space="preserve">• </w:t>
            </w:r>
            <w:r>
              <w:rPr>
                <w:sz w:val="16"/>
              </w:rPr>
              <w:t>Quiz et évaluations</w:t>
            </w:r>
          </w:p>
          <w:p>
            <w:pPr>
              <w:pStyle w:val="TTGCell"/>
              <w:keepNext/>
              <w:keepLines/>
              <w:ind w:left="170" w:hanging="170"/>
            </w:pPr>
            <w:r>
              <w:rPr>
                <w:b/>
                <w:color w:val="00A676"/>
                <w:sz w:val="16"/>
              </w:rPr>
              <w:t xml:space="preserve">• </w:t>
            </w:r>
            <w:r>
              <w:rPr>
                <w:sz w:val="16"/>
              </w:rPr>
              <w:t>Suivi des apprenants et attestations de suivi</w:t>
            </w:r>
          </w:p>
          <w:p>
            <w:pPr>
              <w:pStyle w:val="TTGCell"/>
              <w:keepNext/>
              <w:keepLines/>
              <w:ind w:left="170" w:hanging="170"/>
            </w:pPr>
            <w:r>
              <w:rPr>
                <w:b/>
                <w:color w:val="00A676"/>
                <w:sz w:val="16"/>
              </w:rPr>
              <w:t xml:space="preserve">• </w:t>
            </w:r>
            <w:r>
              <w:rPr>
                <w:sz w:val="16"/>
              </w:rPr>
              <w:t>Espace formateur et administrateur</w:t>
            </w:r>
          </w:p>
          <w:p>
            <w:pPr>
              <w:pStyle w:val="TTGCell"/>
              <w:keepNext/>
              <w:keepLines/>
              <w:ind w:left="170" w:hanging="170"/>
            </w:pPr>
            <w:r>
              <w:rPr>
                <w:b/>
                <w:color w:val="00A676"/>
                <w:sz w:val="16"/>
              </w:rPr>
              <w:t xml:space="preserve">• </w:t>
            </w:r>
            <w:r>
              <w:rPr>
                <w:sz w:val="16"/>
              </w:rPr>
              <w:t>Formation des administrateurs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Plateforme en production</w:t>
            </w:r>
          </w:p>
          <w:p>
            <w:pPr>
              <w:pStyle w:val="TTGCell"/>
              <w:keepNext/>
              <w:keepLines/>
              <w:ind w:left="170" w:hanging="170"/>
            </w:pPr>
            <w:r>
              <w:rPr>
                <w:b/>
                <w:color w:val="00A676"/>
                <w:sz w:val="16"/>
              </w:rPr>
              <w:t xml:space="preserve">• </w:t>
            </w:r>
            <w:r>
              <w:rPr>
                <w:sz w:val="16"/>
              </w:rPr>
              <w:t>Modèle de cours</w:t>
            </w:r>
          </w:p>
          <w:p>
            <w:pPr>
              <w:pStyle w:val="TTGCell"/>
              <w:keepNext/>
              <w:keepLines/>
              <w:ind w:left="170" w:hanging="170"/>
            </w:pPr>
            <w:r>
              <w:rPr>
                <w:b/>
                <w:color w:val="00A676"/>
                <w:sz w:val="16"/>
              </w:rPr>
              <w:t xml:space="preserve">• </w:t>
            </w:r>
            <w:r>
              <w:rPr>
                <w:sz w:val="16"/>
              </w:rPr>
              <w:t>Guide formateur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14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Production des contenus pédagogiques</w:t>
            </w:r>
          </w:p>
          <w:p>
            <w:pPr>
              <w:pStyle w:val="TTGCell"/>
              <w:keepNext w:val="0"/>
              <w:keepLines/>
              <w:ind w:left="170" w:hanging="170"/>
            </w:pPr>
            <w:r>
              <w:rPr>
                <w:b/>
                <w:color w:val="00A676"/>
                <w:sz w:val="16"/>
              </w:rPr>
              <w:t xml:space="preserve">• </w:t>
            </w:r>
            <w:r>
              <w:rPr>
                <w:sz w:val="16"/>
              </w:rPr>
              <w:t>Visioconférence intégrée (option)</w:t>
            </w:r>
          </w:p>
          <w:p>
            <w:pPr>
              <w:pStyle w:val="TTGCell"/>
              <w:keepNext w:val="0"/>
              <w:keepLines/>
              <w:ind w:left="170" w:hanging="170"/>
            </w:pPr>
            <w:r>
              <w:rPr>
                <w:b/>
                <w:color w:val="00A676"/>
                <w:sz w:val="16"/>
              </w:rPr>
              <w:t xml:space="preserve">• </w:t>
            </w:r>
            <w:r>
              <w:rPr>
                <w:sz w:val="16"/>
              </w:rPr>
              <w:t>Certification reconnue par un organisme tiers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d’apprenants simultanés</w:t>
            </w:r>
          </w:p>
          <w:p>
            <w:pPr>
              <w:pStyle w:val="TTGCell"/>
              <w:keepNext w:val="0"/>
              <w:keepLines/>
              <w:ind w:left="170" w:hanging="170"/>
            </w:pPr>
            <w:r>
              <w:rPr>
                <w:b/>
                <w:color w:val="00A676"/>
                <w:sz w:val="16"/>
              </w:rPr>
              <w:t xml:space="preserve">• </w:t>
            </w:r>
            <w:r>
              <w:rPr>
                <w:sz w:val="16"/>
              </w:rPr>
              <w:t>Types d’évaluations</w:t>
            </w:r>
          </w:p>
          <w:p>
            <w:pPr>
              <w:pStyle w:val="TTGCell"/>
              <w:keepNext w:val="0"/>
              <w:keepLines/>
              <w:ind w:left="170" w:hanging="170"/>
            </w:pPr>
            <w:r>
              <w:rPr>
                <w:b/>
                <w:color w:val="00A676"/>
                <w:sz w:val="16"/>
              </w:rPr>
              <w:t xml:space="preserve">• </w:t>
            </w:r>
            <w:r>
              <w:rPr>
                <w:sz w:val="16"/>
              </w:rPr>
              <w:t>Hébergement vidéo</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PL05   </w:t>
            </w:r>
            <w:r>
              <w:rPr>
                <w:b/>
                <w:color w:val="FFFFFF"/>
                <w:sz w:val="20"/>
              </w:rPr>
              <w:t>Plateforme de gestion de dossiers et d’appels</w:t>
            </w:r>
            <w:r>
              <w:rPr>
                <w:b/>
                <w:color w:val="FFFFFF"/>
                <w:sz w:val="19"/>
              </w:rPr>
              <w:tab/>
              <w:t>3 700 000 – 7 400 000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Plateforme pour publier des appels, recevoir des candidatures, instruire les dossiers et notifier les décisions.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Publication d’appels et de formulaires configurables</w:t>
            </w:r>
          </w:p>
          <w:p>
            <w:pPr>
              <w:pStyle w:val="TTGCell"/>
              <w:keepNext/>
              <w:keepLines/>
              <w:ind w:left="170" w:hanging="170"/>
            </w:pPr>
            <w:r>
              <w:rPr>
                <w:b/>
                <w:color w:val="00A676"/>
                <w:sz w:val="16"/>
              </w:rPr>
              <w:t xml:space="preserve">• </w:t>
            </w:r>
            <w:r>
              <w:rPr>
                <w:sz w:val="16"/>
              </w:rPr>
              <w:t>Dépôt de candidatures et pièces jointes</w:t>
            </w:r>
          </w:p>
          <w:p>
            <w:pPr>
              <w:pStyle w:val="TTGCell"/>
              <w:keepNext/>
              <w:keepLines/>
              <w:ind w:left="170" w:hanging="170"/>
            </w:pPr>
            <w:r>
              <w:rPr>
                <w:b/>
                <w:color w:val="00A676"/>
                <w:sz w:val="16"/>
              </w:rPr>
              <w:t xml:space="preserve">• </w:t>
            </w:r>
            <w:r>
              <w:rPr>
                <w:sz w:val="16"/>
              </w:rPr>
              <w:t>Circuit d’instruction et de notation</w:t>
            </w:r>
          </w:p>
          <w:p>
            <w:pPr>
              <w:pStyle w:val="TTGCell"/>
              <w:keepNext/>
              <w:keepLines/>
              <w:ind w:left="170" w:hanging="170"/>
            </w:pPr>
            <w:r>
              <w:rPr>
                <w:b/>
                <w:color w:val="00A676"/>
                <w:sz w:val="16"/>
              </w:rPr>
              <w:t xml:space="preserve">• </w:t>
            </w:r>
            <w:r>
              <w:rPr>
                <w:sz w:val="16"/>
              </w:rPr>
              <w:t>Notifications et exports de décisions</w:t>
            </w:r>
          </w:p>
          <w:p>
            <w:pPr>
              <w:pStyle w:val="TTGCell"/>
              <w:keepNext/>
              <w:keepLines/>
              <w:ind w:left="170" w:hanging="170"/>
            </w:pPr>
            <w:r>
              <w:rPr>
                <w:b/>
                <w:color w:val="00A676"/>
                <w:sz w:val="16"/>
              </w:rPr>
              <w:t xml:space="preserve">• </w:t>
            </w:r>
            <w:r>
              <w:rPr>
                <w:sz w:val="16"/>
              </w:rPr>
              <w:t>Mise en production et 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Plateforme en production</w:t>
            </w:r>
          </w:p>
          <w:p>
            <w:pPr>
              <w:pStyle w:val="TTGCell"/>
              <w:keepNext/>
              <w:keepLines/>
              <w:ind w:left="170" w:hanging="170"/>
            </w:pPr>
            <w:r>
              <w:rPr>
                <w:b/>
                <w:color w:val="00A676"/>
                <w:sz w:val="16"/>
              </w:rPr>
              <w:t xml:space="preserve">• </w:t>
            </w:r>
            <w:r>
              <w:rPr>
                <w:sz w:val="16"/>
              </w:rPr>
              <w:t>Guide des instructeurs</w:t>
            </w:r>
          </w:p>
          <w:p>
            <w:pPr>
              <w:pStyle w:val="TTGCell"/>
              <w:keepNext/>
              <w:keepLines/>
              <w:ind w:left="170" w:hanging="170"/>
            </w:pPr>
            <w:r>
              <w:rPr>
                <w:b/>
                <w:color w:val="00A676"/>
                <w:sz w:val="16"/>
              </w:rPr>
              <w:t xml:space="preserve">• </w:t>
            </w:r>
            <w:r>
              <w:rPr>
                <w:sz w:val="16"/>
              </w:rPr>
              <w:t>Guide des candidats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10 à 16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Signature électronique à valeur légale (à valider)</w:t>
            </w:r>
          </w:p>
          <w:p>
            <w:pPr>
              <w:pStyle w:val="TTGCell"/>
              <w:keepNext w:val="0"/>
              <w:keepLines/>
              <w:ind w:left="170" w:hanging="170"/>
            </w:pPr>
            <w:r>
              <w:rPr>
                <w:b/>
                <w:color w:val="00A676"/>
                <w:sz w:val="16"/>
              </w:rPr>
              <w:t xml:space="preserve">• </w:t>
            </w:r>
            <w:r>
              <w:rPr>
                <w:sz w:val="16"/>
              </w:rPr>
              <w:t>Migration d’archives papier</w:t>
            </w:r>
          </w:p>
          <w:p>
            <w:pPr>
              <w:pStyle w:val="TTGCell"/>
              <w:keepNext w:val="0"/>
              <w:keepLines/>
              <w:ind w:left="170" w:hanging="170"/>
            </w:pPr>
            <w:r>
              <w:rPr>
                <w:b/>
                <w:color w:val="00A676"/>
                <w:sz w:val="16"/>
              </w:rPr>
              <w:t xml:space="preserve">• </w:t>
            </w:r>
            <w:r>
              <w:rPr>
                <w:sz w:val="16"/>
              </w:rPr>
              <w:t>Application mobile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types d’appels</w:t>
            </w:r>
          </w:p>
          <w:p>
            <w:pPr>
              <w:pStyle w:val="TTGCell"/>
              <w:keepNext w:val="0"/>
              <w:keepLines/>
              <w:ind w:left="170" w:hanging="170"/>
            </w:pPr>
            <w:r>
              <w:rPr>
                <w:b/>
                <w:color w:val="00A676"/>
                <w:sz w:val="16"/>
              </w:rPr>
              <w:t xml:space="preserve">• </w:t>
            </w:r>
            <w:r>
              <w:rPr>
                <w:sz w:val="16"/>
              </w:rPr>
              <w:t>Complexité des grilles de notation</w:t>
            </w:r>
          </w:p>
          <w:p>
            <w:pPr>
              <w:pStyle w:val="TTGCell"/>
              <w:keepNext w:val="0"/>
              <w:keepLines/>
              <w:ind w:left="170" w:hanging="170"/>
            </w:pPr>
            <w:r>
              <w:rPr>
                <w:b/>
                <w:color w:val="00A676"/>
                <w:sz w:val="16"/>
              </w:rPr>
              <w:t xml:space="preserve">• </w:t>
            </w:r>
            <w:r>
              <w:rPr>
                <w:sz w:val="16"/>
              </w:rPr>
              <w:t>Volume de candidatures</w:t>
            </w:r>
          </w:p>
        </w:tc>
      </w:tr>
    </w:tbl>
    <w:p>
      <w:pPr>
        <w:spacing w:after="140"/>
      </w:pPr>
    </w:p>
    <w:p>
      <w:pPr>
        <w:pStyle w:val="Heading2"/>
      </w:pPr>
      <w:r>
        <w:t>Logiciels et applications sur mesure</w:t>
      </w:r>
    </w:p>
    <w:p>
      <w:pPr>
        <w:keepNext/>
        <w:spacing w:after="120"/>
      </w:pPr>
      <w:r>
        <w:rPr>
          <w:color w:val="626262"/>
          <w:sz w:val="18"/>
        </w:rPr>
        <w:t>Applications et logiciels de gestion, tableaux de bord, interconnexion de systèmes.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LG01   </w:t>
            </w:r>
            <w:r>
              <w:rPr>
                <w:b/>
                <w:color w:val="FFFFFF"/>
                <w:sz w:val="20"/>
              </w:rPr>
              <w:t>Application web de gestion (module unique)</w:t>
            </w:r>
            <w:r>
              <w:rPr>
                <w:b/>
                <w:color w:val="FFFFFF"/>
                <w:sz w:val="19"/>
              </w:rPr>
              <w:tab/>
              <w:t>1 850 000 – 3 700 000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web sur mesure pour un besoin de gestion précis : suivi, stocks, clients, interventions, etc.</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du besoin et spécifications</w:t>
            </w:r>
          </w:p>
          <w:p>
            <w:pPr>
              <w:pStyle w:val="TTGCell"/>
              <w:keepNext/>
              <w:keepLines/>
              <w:ind w:left="170" w:hanging="170"/>
            </w:pPr>
            <w:r>
              <w:rPr>
                <w:b/>
                <w:color w:val="00A676"/>
                <w:sz w:val="16"/>
              </w:rPr>
              <w:t xml:space="preserve">• </w:t>
            </w:r>
            <w:r>
              <w:rPr>
                <w:sz w:val="16"/>
              </w:rPr>
              <w:t>Un module métier avec formulaires, listes et recherche</w:t>
            </w:r>
          </w:p>
          <w:p>
            <w:pPr>
              <w:pStyle w:val="TTGCell"/>
              <w:keepNext/>
              <w:keepLines/>
              <w:ind w:left="170" w:hanging="170"/>
            </w:pPr>
            <w:r>
              <w:rPr>
                <w:b/>
                <w:color w:val="00A676"/>
                <w:sz w:val="16"/>
              </w:rPr>
              <w:t xml:space="preserve">• </w:t>
            </w:r>
            <w:r>
              <w:rPr>
                <w:sz w:val="16"/>
              </w:rPr>
              <w:t>Rôles et droits d’accès</w:t>
            </w:r>
          </w:p>
          <w:p>
            <w:pPr>
              <w:pStyle w:val="TTGCell"/>
              <w:keepNext/>
              <w:keepLines/>
              <w:ind w:left="170" w:hanging="170"/>
            </w:pPr>
            <w:r>
              <w:rPr>
                <w:b/>
                <w:color w:val="00A676"/>
                <w:sz w:val="16"/>
              </w:rPr>
              <w:t xml:space="preserve">• </w:t>
            </w:r>
            <w:r>
              <w:rPr>
                <w:sz w:val="16"/>
              </w:rPr>
              <w:t>Exports Excel et PDF</w:t>
            </w:r>
          </w:p>
          <w:p>
            <w:pPr>
              <w:pStyle w:val="TTGCell"/>
              <w:keepNext/>
              <w:keepLines/>
              <w:ind w:left="170" w:hanging="170"/>
            </w:pPr>
            <w:r>
              <w:rPr>
                <w:b/>
                <w:color w:val="00A676"/>
                <w:sz w:val="16"/>
              </w:rPr>
              <w:t xml:space="preserve">• </w:t>
            </w:r>
            <w:r>
              <w:rPr>
                <w:sz w:val="16"/>
              </w:rPr>
              <w:t>Mise en production et 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 en production</w:t>
            </w:r>
          </w:p>
          <w:p>
            <w:pPr>
              <w:pStyle w:val="TTGCell"/>
              <w:keepNext/>
              <w:keepLines/>
              <w:ind w:left="170" w:hanging="170"/>
            </w:pPr>
            <w:r>
              <w:rPr>
                <w:b/>
                <w:color w:val="00A676"/>
                <w:sz w:val="16"/>
              </w:rPr>
              <w:t xml:space="preserve">• </w:t>
            </w:r>
            <w:r>
              <w:rPr>
                <w:sz w:val="16"/>
              </w:rPr>
              <w:t>Spécifications</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Application mobile</w:t>
            </w:r>
          </w:p>
          <w:p>
            <w:pPr>
              <w:pStyle w:val="TTGCell"/>
              <w:keepNext w:val="0"/>
              <w:keepLines/>
              <w:ind w:left="170" w:hanging="170"/>
            </w:pPr>
            <w:r>
              <w:rPr>
                <w:b/>
                <w:color w:val="00A676"/>
                <w:sz w:val="16"/>
              </w:rPr>
              <w:t xml:space="preserve">• </w:t>
            </w:r>
            <w:r>
              <w:rPr>
                <w:sz w:val="16"/>
              </w:rPr>
              <w:t>Intégrations tierces</w:t>
            </w:r>
          </w:p>
          <w:p>
            <w:pPr>
              <w:pStyle w:val="TTGCell"/>
              <w:keepNext w:val="0"/>
              <w:keepLines/>
              <w:ind w:left="170" w:hanging="170"/>
            </w:pPr>
            <w:r>
              <w:rPr>
                <w:b/>
                <w:color w:val="00A676"/>
                <w:sz w:val="16"/>
              </w:rPr>
              <w:t xml:space="preserve">• </w:t>
            </w:r>
            <w:r>
              <w:rPr>
                <w:sz w:val="16"/>
              </w:rPr>
              <w:t>Migration lourde de données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 et de règles métier</w:t>
            </w:r>
          </w:p>
          <w:p>
            <w:pPr>
              <w:pStyle w:val="TTGCell"/>
              <w:keepNext w:val="0"/>
              <w:keepLines/>
              <w:ind w:left="170" w:hanging="170"/>
            </w:pPr>
            <w:r>
              <w:rPr>
                <w:b/>
                <w:color w:val="00A676"/>
                <w:sz w:val="16"/>
              </w:rPr>
              <w:t xml:space="preserve">• </w:t>
            </w:r>
            <w:r>
              <w:rPr>
                <w:sz w:val="16"/>
              </w:rPr>
              <w:t>Volume de données</w:t>
            </w:r>
          </w:p>
          <w:p>
            <w:pPr>
              <w:pStyle w:val="TTGCell"/>
              <w:keepNext w:val="0"/>
              <w:keepLines/>
              <w:ind w:left="170" w:hanging="170"/>
            </w:pPr>
            <w:r>
              <w:rPr>
                <w:b/>
                <w:color w:val="00A676"/>
                <w:sz w:val="16"/>
              </w:rPr>
              <w:t xml:space="preserve">• </w:t>
            </w:r>
            <w:r>
              <w:rPr>
                <w:sz w:val="16"/>
              </w:rPr>
              <w:t>Exigences de sécurité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LG02   </w:t>
            </w:r>
            <w:r>
              <w:rPr>
                <w:b/>
                <w:color w:val="FFFFFF"/>
                <w:sz w:val="20"/>
              </w:rPr>
              <w:t>Logiciel de gestion multi-modules</w:t>
            </w:r>
            <w:r>
              <w:rPr>
                <w:b/>
                <w:color w:val="FFFFFF"/>
                <w:sz w:val="19"/>
              </w:rPr>
              <w:tab/>
              <w:t>9 300 000 – 18 600 000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Système de gestion intégré couvrant plusieurs métiers de l’organisation avec données partagées.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détaillé et plan de livraison par lots</w:t>
            </w:r>
          </w:p>
          <w:p>
            <w:pPr>
              <w:pStyle w:val="TTGCell"/>
              <w:keepNext/>
              <w:keepLines/>
              <w:ind w:left="170" w:hanging="170"/>
            </w:pPr>
            <w:r>
              <w:rPr>
                <w:b/>
                <w:color w:val="00A676"/>
                <w:sz w:val="16"/>
              </w:rPr>
              <w:t xml:space="preserve">• </w:t>
            </w:r>
            <w:r>
              <w:rPr>
                <w:sz w:val="16"/>
              </w:rPr>
              <w:t>Jusqu’à 4 modules intégrés</w:t>
            </w:r>
          </w:p>
          <w:p>
            <w:pPr>
              <w:pStyle w:val="TTGCell"/>
              <w:keepNext/>
              <w:keepLines/>
              <w:ind w:left="170" w:hanging="170"/>
            </w:pPr>
            <w:r>
              <w:rPr>
                <w:b/>
                <w:color w:val="00A676"/>
                <w:sz w:val="16"/>
              </w:rPr>
              <w:t xml:space="preserve">• </w:t>
            </w:r>
            <w:r>
              <w:rPr>
                <w:sz w:val="16"/>
              </w:rPr>
              <w:t>Rôles, droits et journal d’activité</w:t>
            </w:r>
          </w:p>
          <w:p>
            <w:pPr>
              <w:pStyle w:val="TTGCell"/>
              <w:keepNext/>
              <w:keepLines/>
              <w:ind w:left="170" w:hanging="170"/>
            </w:pPr>
            <w:r>
              <w:rPr>
                <w:b/>
                <w:color w:val="00A676"/>
                <w:sz w:val="16"/>
              </w:rPr>
              <w:t xml:space="preserve">• </w:t>
            </w:r>
            <w:r>
              <w:rPr>
                <w:sz w:val="16"/>
              </w:rPr>
              <w:t>Tableaux de bord et exports</w:t>
            </w:r>
          </w:p>
          <w:p>
            <w:pPr>
              <w:pStyle w:val="TTGCell"/>
              <w:keepNext/>
              <w:keepLines/>
              <w:ind w:left="170" w:hanging="170"/>
            </w:pPr>
            <w:r>
              <w:rPr>
                <w:b/>
                <w:color w:val="00A676"/>
                <w:sz w:val="16"/>
              </w:rPr>
              <w:t xml:space="preserve">• </w:t>
            </w:r>
            <w:r>
              <w:rPr>
                <w:sz w:val="16"/>
              </w:rPr>
              <w:t>Reprise de données initiales (volume limité)</w:t>
            </w:r>
          </w:p>
          <w:p>
            <w:pPr>
              <w:pStyle w:val="TTGCell"/>
              <w:keepNext/>
              <w:keepLines/>
              <w:ind w:left="170" w:hanging="170"/>
            </w:pPr>
            <w:r>
              <w:rPr>
                <w:b/>
                <w:color w:val="00A676"/>
                <w:sz w:val="16"/>
              </w:rPr>
              <w:t xml:space="preserve">• </w:t>
            </w:r>
            <w:r>
              <w:rPr>
                <w:sz w:val="16"/>
              </w:rPr>
              <w:t>Formation des équipes (2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Logiciel en production</w:t>
            </w:r>
          </w:p>
          <w:p>
            <w:pPr>
              <w:pStyle w:val="TTGCell"/>
              <w:keepNext/>
              <w:keepLines/>
              <w:ind w:left="170" w:hanging="170"/>
            </w:pPr>
            <w:r>
              <w:rPr>
                <w:b/>
                <w:color w:val="00A676"/>
                <w:sz w:val="16"/>
              </w:rPr>
              <w:t xml:space="preserve">• </w:t>
            </w:r>
            <w:r>
              <w:rPr>
                <w:sz w:val="16"/>
              </w:rPr>
              <w:t>Dossier de spécifications</w:t>
            </w:r>
          </w:p>
          <w:p>
            <w:pPr>
              <w:pStyle w:val="TTGCell"/>
              <w:keepNext/>
              <w:keepLines/>
              <w:ind w:left="170" w:hanging="170"/>
            </w:pPr>
            <w:r>
              <w:rPr>
                <w:b/>
                <w:color w:val="00A676"/>
                <w:sz w:val="16"/>
              </w:rPr>
              <w:t xml:space="preserve">• </w:t>
            </w:r>
            <w:r>
              <w:rPr>
                <w:sz w:val="16"/>
              </w:rPr>
              <w:t>Documentation technique et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8 mois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Modules additionnels</w:t>
            </w:r>
          </w:p>
          <w:p>
            <w:pPr>
              <w:pStyle w:val="TTGCell"/>
              <w:keepNext w:val="0"/>
              <w:keepLines/>
              <w:ind w:left="170" w:hanging="170"/>
            </w:pPr>
            <w:r>
              <w:rPr>
                <w:b/>
                <w:color w:val="00A676"/>
                <w:sz w:val="16"/>
              </w:rPr>
              <w:t xml:space="preserve">• </w:t>
            </w:r>
            <w:r>
              <w:rPr>
                <w:sz w:val="16"/>
              </w:rPr>
              <w:t>Matériel et réseau local</w:t>
            </w:r>
          </w:p>
          <w:p>
            <w:pPr>
              <w:pStyle w:val="TTGCell"/>
              <w:keepNext w:val="0"/>
              <w:keepLines/>
              <w:ind w:left="170" w:hanging="170"/>
            </w:pPr>
            <w:r>
              <w:rPr>
                <w:b/>
                <w:color w:val="00A676"/>
                <w:sz w:val="16"/>
              </w:rPr>
              <w:t xml:space="preserve">• </w:t>
            </w:r>
            <w:r>
              <w:rPr>
                <w:sz w:val="16"/>
              </w:rPr>
              <w:t>Exploitation après garantie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modules et d’utilisateurs</w:t>
            </w:r>
          </w:p>
          <w:p>
            <w:pPr>
              <w:pStyle w:val="TTGCell"/>
              <w:keepNext w:val="0"/>
              <w:keepLines/>
              <w:ind w:left="170" w:hanging="170"/>
            </w:pPr>
            <w:r>
              <w:rPr>
                <w:b/>
                <w:color w:val="00A676"/>
                <w:sz w:val="16"/>
              </w:rPr>
              <w:t xml:space="preserve">• </w:t>
            </w:r>
            <w:r>
              <w:rPr>
                <w:sz w:val="16"/>
              </w:rPr>
              <w:t>Reprise de données</w:t>
            </w:r>
          </w:p>
          <w:p>
            <w:pPr>
              <w:pStyle w:val="TTGCell"/>
              <w:keepNext w:val="0"/>
              <w:keepLines/>
              <w:ind w:left="170" w:hanging="170"/>
            </w:pPr>
            <w:r>
              <w:rPr>
                <w:b/>
                <w:color w:val="00A676"/>
                <w:sz w:val="16"/>
              </w:rPr>
              <w:t xml:space="preserve">• </w:t>
            </w:r>
            <w:r>
              <w:rPr>
                <w:sz w:val="16"/>
              </w:rPr>
              <w:t>Interfaces avec d’autres systèmes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LG03   </w:t>
            </w:r>
            <w:r>
              <w:rPr>
                <w:b/>
                <w:color w:val="FFFFFF"/>
                <w:sz w:val="20"/>
              </w:rPr>
              <w:t>Logiciel de facturation et gestion commerciale</w:t>
            </w:r>
            <w:r>
              <w:rPr>
                <w:b/>
                <w:color w:val="FFFFFF"/>
                <w:sz w:val="19"/>
              </w:rPr>
              <w:tab/>
              <w:t>1 750 000 – 3 500 000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Outil de devis, factures, encaissements et relances adapté aux pratiques d’une PME.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Clients, produits et services, taxes configurables</w:t>
            </w:r>
          </w:p>
          <w:p>
            <w:pPr>
              <w:pStyle w:val="TTGCell"/>
              <w:keepNext/>
              <w:keepLines/>
              <w:ind w:left="170" w:hanging="170"/>
            </w:pPr>
            <w:r>
              <w:rPr>
                <w:b/>
                <w:color w:val="00A676"/>
                <w:sz w:val="16"/>
              </w:rPr>
              <w:t xml:space="preserve">• </w:t>
            </w:r>
            <w:r>
              <w:rPr>
                <w:sz w:val="16"/>
              </w:rPr>
              <w:t>Devis, factures et avoirs au format PDF</w:t>
            </w:r>
          </w:p>
          <w:p>
            <w:pPr>
              <w:pStyle w:val="TTGCell"/>
              <w:keepNext/>
              <w:keepLines/>
              <w:ind w:left="170" w:hanging="170"/>
            </w:pPr>
            <w:r>
              <w:rPr>
                <w:b/>
                <w:color w:val="00A676"/>
                <w:sz w:val="16"/>
              </w:rPr>
              <w:t xml:space="preserve">• </w:t>
            </w:r>
            <w:r>
              <w:rPr>
                <w:sz w:val="16"/>
              </w:rPr>
              <w:t>Suivi des encaissements et relances</w:t>
            </w:r>
          </w:p>
          <w:p>
            <w:pPr>
              <w:pStyle w:val="TTGCell"/>
              <w:keepNext/>
              <w:keepLines/>
              <w:ind w:left="170" w:hanging="170"/>
            </w:pPr>
            <w:r>
              <w:rPr>
                <w:b/>
                <w:color w:val="00A676"/>
                <w:sz w:val="16"/>
              </w:rPr>
              <w:t xml:space="preserve">• </w:t>
            </w:r>
            <w:r>
              <w:rPr>
                <w:sz w:val="16"/>
              </w:rPr>
              <w:t>Tableaux de bord de chiffre d’affaires</w:t>
            </w:r>
          </w:p>
          <w:p>
            <w:pPr>
              <w:pStyle w:val="TTGCell"/>
              <w:keepNext/>
              <w:keepLines/>
              <w:ind w:left="170" w:hanging="170"/>
            </w:pPr>
            <w:r>
              <w:rPr>
                <w:b/>
                <w:color w:val="00A676"/>
                <w:sz w:val="16"/>
              </w:rPr>
              <w:t xml:space="preserve">• </w:t>
            </w:r>
            <w:r>
              <w:rPr>
                <w:sz w:val="16"/>
              </w:rPr>
              <w:t>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Logiciel en production</w:t>
            </w:r>
          </w:p>
          <w:p>
            <w:pPr>
              <w:pStyle w:val="TTGCell"/>
              <w:keepNext/>
              <w:keepLines/>
              <w:ind w:left="170" w:hanging="170"/>
            </w:pPr>
            <w:r>
              <w:rPr>
                <w:b/>
                <w:color w:val="00A676"/>
                <w:sz w:val="16"/>
              </w:rPr>
              <w:t xml:space="preserve">• </w:t>
            </w:r>
            <w:r>
              <w:rPr>
                <w:sz w:val="16"/>
              </w:rPr>
              <w:t>Modèles de documents personnalisés</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9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Comptabilité générale certifiée</w:t>
            </w:r>
          </w:p>
          <w:p>
            <w:pPr>
              <w:pStyle w:val="TTGCell"/>
              <w:keepNext w:val="0"/>
              <w:keepLines/>
              <w:ind w:left="170" w:hanging="170"/>
            </w:pPr>
            <w:r>
              <w:rPr>
                <w:b/>
                <w:color w:val="00A676"/>
                <w:sz w:val="16"/>
              </w:rPr>
              <w:t xml:space="preserve">• </w:t>
            </w:r>
            <w:r>
              <w:rPr>
                <w:sz w:val="16"/>
              </w:rPr>
              <w:t>Télédéclarations fiscales</w:t>
            </w:r>
          </w:p>
          <w:p>
            <w:pPr>
              <w:pStyle w:val="TTGCell"/>
              <w:keepNext w:val="0"/>
              <w:keepLines/>
              <w:ind w:left="170" w:hanging="170"/>
            </w:pPr>
            <w:r>
              <w:rPr>
                <w:b/>
                <w:color w:val="00A676"/>
                <w:sz w:val="16"/>
              </w:rPr>
              <w:t xml:space="preserve">• </w:t>
            </w:r>
            <w:r>
              <w:rPr>
                <w:sz w:val="16"/>
              </w:rPr>
              <w:t>Application mobile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Règles fiscales à paramétrer</w:t>
            </w:r>
          </w:p>
          <w:p>
            <w:pPr>
              <w:pStyle w:val="TTGCell"/>
              <w:keepNext w:val="0"/>
              <w:keepLines/>
              <w:ind w:left="170" w:hanging="170"/>
            </w:pPr>
            <w:r>
              <w:rPr>
                <w:b/>
                <w:color w:val="00A676"/>
                <w:sz w:val="16"/>
              </w:rPr>
              <w:t xml:space="preserve">• </w:t>
            </w:r>
            <w:r>
              <w:rPr>
                <w:sz w:val="16"/>
              </w:rPr>
              <w:t>Reprise de l’historique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LG04   </w:t>
            </w:r>
            <w:r>
              <w:rPr>
                <w:b/>
                <w:color w:val="FFFFFF"/>
                <w:sz w:val="20"/>
              </w:rPr>
              <w:t>Tableau de bord décisionnel</w:t>
            </w:r>
            <w:r>
              <w:rPr>
                <w:b/>
                <w:color w:val="FFFFFF"/>
                <w:sz w:val="19"/>
              </w:rPr>
              <w:tab/>
              <w:t>1 200 000 – 2 400 000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Tableaux de bord d’indicateurs alimentés par les données de l’organisation (fichiers, bases ou applications).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Définition des indicateurs avec la direction</w:t>
            </w:r>
          </w:p>
          <w:p>
            <w:pPr>
              <w:pStyle w:val="TTGCell"/>
              <w:keepNext/>
              <w:keepLines/>
              <w:ind w:left="170" w:hanging="170"/>
            </w:pPr>
            <w:r>
              <w:rPr>
                <w:b/>
                <w:color w:val="00A676"/>
                <w:sz w:val="16"/>
              </w:rPr>
              <w:t xml:space="preserve">• </w:t>
            </w:r>
            <w:r>
              <w:rPr>
                <w:sz w:val="16"/>
              </w:rPr>
              <w:t>Connexion à jusqu’à 3 sources de données</w:t>
            </w:r>
          </w:p>
          <w:p>
            <w:pPr>
              <w:pStyle w:val="TTGCell"/>
              <w:keepNext/>
              <w:keepLines/>
              <w:ind w:left="170" w:hanging="170"/>
            </w:pPr>
            <w:r>
              <w:rPr>
                <w:b/>
                <w:color w:val="00A676"/>
                <w:sz w:val="16"/>
              </w:rPr>
              <w:t xml:space="preserve">• </w:t>
            </w:r>
            <w:r>
              <w:rPr>
                <w:sz w:val="16"/>
              </w:rPr>
              <w:t>Jusqu’à 3 tableaux de bord interactifs</w:t>
            </w:r>
          </w:p>
          <w:p>
            <w:pPr>
              <w:pStyle w:val="TTGCell"/>
              <w:keepNext/>
              <w:keepLines/>
              <w:ind w:left="170" w:hanging="170"/>
            </w:pPr>
            <w:r>
              <w:rPr>
                <w:b/>
                <w:color w:val="00A676"/>
                <w:sz w:val="16"/>
              </w:rPr>
              <w:t xml:space="preserve">• </w:t>
            </w:r>
            <w:r>
              <w:rPr>
                <w:sz w:val="16"/>
              </w:rPr>
              <w:t>Mise à jour automatique planifiée</w:t>
            </w:r>
          </w:p>
          <w:p>
            <w:pPr>
              <w:pStyle w:val="TTGCell"/>
              <w:keepNext/>
              <w:keepLines/>
              <w:ind w:left="170" w:hanging="170"/>
            </w:pPr>
            <w:r>
              <w:rPr>
                <w:b/>
                <w:color w:val="00A676"/>
                <w:sz w:val="16"/>
              </w:rPr>
              <w:t xml:space="preserve">• </w:t>
            </w:r>
            <w:r>
              <w:rPr>
                <w:sz w:val="16"/>
              </w:rPr>
              <w:t>Formation (3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Tableaux de bord en ligne</w:t>
            </w:r>
          </w:p>
          <w:p>
            <w:pPr>
              <w:pStyle w:val="TTGCell"/>
              <w:keepNext/>
              <w:keepLines/>
              <w:ind w:left="170" w:hanging="170"/>
            </w:pPr>
            <w:r>
              <w:rPr>
                <w:b/>
                <w:color w:val="00A676"/>
                <w:sz w:val="16"/>
              </w:rPr>
              <w:t xml:space="preserve">• </w:t>
            </w:r>
            <w:r>
              <w:rPr>
                <w:sz w:val="16"/>
              </w:rPr>
              <w:t>Dictionnaire des indicateurs</w:t>
            </w:r>
          </w:p>
          <w:p>
            <w:pPr>
              <w:pStyle w:val="TTGCell"/>
              <w:keepNext/>
              <w:keepLines/>
              <w:ind w:left="170" w:hanging="170"/>
            </w:pPr>
            <w:r>
              <w:rPr>
                <w:b/>
                <w:color w:val="00A676"/>
                <w:sz w:val="16"/>
              </w:rPr>
              <w:t xml:space="preserve">• </w:t>
            </w:r>
            <w:r>
              <w:rPr>
                <w:sz w:val="16"/>
              </w:rPr>
              <w:t>Guide de lecture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Nettoyage de données très dégradées</w:t>
            </w:r>
          </w:p>
          <w:p>
            <w:pPr>
              <w:pStyle w:val="TTGCell"/>
              <w:keepNext w:val="0"/>
              <w:keepLines/>
              <w:ind w:left="170" w:hanging="170"/>
            </w:pPr>
            <w:r>
              <w:rPr>
                <w:b/>
                <w:color w:val="00A676"/>
                <w:sz w:val="16"/>
              </w:rPr>
              <w:t xml:space="preserve">• </w:t>
            </w:r>
            <w:r>
              <w:rPr>
                <w:sz w:val="16"/>
              </w:rPr>
              <w:t>Licences d’outils tiers payants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sources</w:t>
            </w:r>
          </w:p>
          <w:p>
            <w:pPr>
              <w:pStyle w:val="TTGCell"/>
              <w:keepNext w:val="0"/>
              <w:keepLines/>
              <w:ind w:left="170" w:hanging="170"/>
            </w:pPr>
            <w:r>
              <w:rPr>
                <w:b/>
                <w:color w:val="00A676"/>
                <w:sz w:val="16"/>
              </w:rPr>
              <w:t xml:space="preserve">• </w:t>
            </w:r>
            <w:r>
              <w:rPr>
                <w:sz w:val="16"/>
              </w:rPr>
              <w:t>Qualité des données</w:t>
            </w:r>
          </w:p>
          <w:p>
            <w:pPr>
              <w:pStyle w:val="TTGCell"/>
              <w:keepNext w:val="0"/>
              <w:keepLines/>
              <w:ind w:left="170" w:hanging="170"/>
            </w:pPr>
            <w:r>
              <w:rPr>
                <w:b/>
                <w:color w:val="00A676"/>
                <w:sz w:val="16"/>
              </w:rPr>
              <w:t xml:space="preserve">• </w:t>
            </w:r>
            <w:r>
              <w:rPr>
                <w:sz w:val="16"/>
              </w:rPr>
              <w:t>Fréquence d’actualisation</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LG05   </w:t>
            </w:r>
            <w:r>
              <w:rPr>
                <w:b/>
                <w:color w:val="FFFFFF"/>
                <w:sz w:val="20"/>
              </w:rPr>
              <w:t>Intégration et interconnexion de systèmes</w:t>
            </w:r>
            <w:r>
              <w:rPr>
                <w:b/>
                <w:color w:val="FFFFFF"/>
                <w:sz w:val="19"/>
              </w:rPr>
              <w:tab/>
              <w:t>1 100 000 – 2 150 000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Mise en relation de deux ou plusieurs outils (échange automatique de données, synchronisation, API).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Analyse des systèmes et des flux</w:t>
            </w:r>
          </w:p>
          <w:p>
            <w:pPr>
              <w:pStyle w:val="TTGCell"/>
              <w:keepNext/>
              <w:keepLines/>
              <w:ind w:left="170" w:hanging="170"/>
            </w:pPr>
            <w:r>
              <w:rPr>
                <w:b/>
                <w:color w:val="00A676"/>
                <w:sz w:val="16"/>
              </w:rPr>
              <w:t xml:space="preserve">• </w:t>
            </w:r>
            <w:r>
              <w:rPr>
                <w:sz w:val="16"/>
              </w:rPr>
              <w:t>Développement des connecteurs (jusqu’à 3 flux)</w:t>
            </w:r>
          </w:p>
          <w:p>
            <w:pPr>
              <w:pStyle w:val="TTGCell"/>
              <w:keepNext/>
              <w:keepLines/>
              <w:ind w:left="170" w:hanging="170"/>
            </w:pPr>
            <w:r>
              <w:rPr>
                <w:b/>
                <w:color w:val="00A676"/>
                <w:sz w:val="16"/>
              </w:rPr>
              <w:t xml:space="preserve">• </w:t>
            </w:r>
            <w:r>
              <w:rPr>
                <w:sz w:val="16"/>
              </w:rPr>
              <w:t>Journalisation et alertes en cas d’échec</w:t>
            </w:r>
          </w:p>
          <w:p>
            <w:pPr>
              <w:pStyle w:val="TTGCell"/>
              <w:keepNext/>
              <w:keepLines/>
              <w:ind w:left="170" w:hanging="170"/>
            </w:pPr>
            <w:r>
              <w:rPr>
                <w:b/>
                <w:color w:val="00A676"/>
                <w:sz w:val="16"/>
              </w:rPr>
              <w:t xml:space="preserve">• </w:t>
            </w:r>
            <w:r>
              <w:rPr>
                <w:sz w:val="16"/>
              </w:rPr>
              <w:t>Tests et mise en production</w:t>
            </w:r>
          </w:p>
          <w:p>
            <w:pPr>
              <w:pStyle w:val="TTGCell"/>
              <w:keepNext/>
              <w:keepLines/>
              <w:ind w:left="170" w:hanging="170"/>
            </w:pPr>
            <w:r>
              <w:rPr>
                <w:b/>
                <w:color w:val="00A676"/>
                <w:sz w:val="16"/>
              </w:rPr>
              <w:t xml:space="preserve">• </w:t>
            </w:r>
            <w:r>
              <w:rPr>
                <w:sz w:val="16"/>
              </w:rPr>
              <w:t>Documentation technique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Connecteurs en production</w:t>
            </w:r>
          </w:p>
          <w:p>
            <w:pPr>
              <w:pStyle w:val="TTGCell"/>
              <w:keepNext/>
              <w:keepLines/>
              <w:ind w:left="170" w:hanging="170"/>
            </w:pPr>
            <w:r>
              <w:rPr>
                <w:b/>
                <w:color w:val="00A676"/>
                <w:sz w:val="16"/>
              </w:rPr>
              <w:t xml:space="preserve">• </w:t>
            </w:r>
            <w:r>
              <w:rPr>
                <w:sz w:val="16"/>
              </w:rPr>
              <w:t>Documentation technique</w:t>
            </w:r>
          </w:p>
          <w:p>
            <w:pPr>
              <w:pStyle w:val="TTGCell"/>
              <w:keepNext/>
              <w:keepLines/>
              <w:ind w:left="170" w:hanging="170"/>
            </w:pPr>
            <w:r>
              <w:rPr>
                <w:b/>
                <w:color w:val="00A676"/>
                <w:sz w:val="16"/>
              </w:rPr>
              <w:t xml:space="preserve">• </w:t>
            </w:r>
            <w:r>
              <w:rPr>
                <w:sz w:val="16"/>
              </w:rPr>
              <w:t>Plan de tests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Licences des outils connectés</w:t>
            </w:r>
          </w:p>
          <w:p>
            <w:pPr>
              <w:pStyle w:val="TTGCell"/>
              <w:keepNext w:val="0"/>
              <w:keepLines/>
              <w:ind w:left="170" w:hanging="170"/>
            </w:pPr>
            <w:r>
              <w:rPr>
                <w:b/>
                <w:color w:val="00A676"/>
                <w:sz w:val="16"/>
              </w:rPr>
              <w:t xml:space="preserve">• </w:t>
            </w:r>
            <w:r>
              <w:rPr>
                <w:sz w:val="16"/>
              </w:rPr>
              <w:t>Modification des logiciels tiers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Qualité des interfaces disponibles</w:t>
            </w:r>
          </w:p>
          <w:p>
            <w:pPr>
              <w:pStyle w:val="TTGCell"/>
              <w:keepNext w:val="0"/>
              <w:keepLines/>
              <w:ind w:left="170" w:hanging="170"/>
            </w:pPr>
            <w:r>
              <w:rPr>
                <w:b/>
                <w:color w:val="00A676"/>
                <w:sz w:val="16"/>
              </w:rPr>
              <w:t xml:space="preserve">• </w:t>
            </w:r>
            <w:r>
              <w:rPr>
                <w:sz w:val="16"/>
              </w:rPr>
              <w:t>Nombre de flux</w:t>
            </w:r>
          </w:p>
          <w:p>
            <w:pPr>
              <w:pStyle w:val="TTGCell"/>
              <w:keepNext w:val="0"/>
              <w:keepLines/>
              <w:ind w:left="170" w:hanging="170"/>
            </w:pPr>
            <w:r>
              <w:rPr>
                <w:b/>
                <w:color w:val="00A676"/>
                <w:sz w:val="16"/>
              </w:rPr>
              <w:t xml:space="preserve">• </w:t>
            </w:r>
            <w:r>
              <w:rPr>
                <w:sz w:val="16"/>
              </w:rPr>
              <w:t>Volumes échangés</w:t>
            </w:r>
          </w:p>
        </w:tc>
      </w:tr>
    </w:tbl>
    <w:p>
      <w:pPr>
        <w:spacing w:after="140"/>
      </w:pPr>
    </w:p>
    <w:p>
      <w:pPr>
        <w:pStyle w:val="Heading2"/>
      </w:pPr>
      <w:r>
        <w:t>Applications mobiles</w:t>
      </w:r>
    </w:p>
    <w:p>
      <w:pPr>
        <w:keepNext/>
        <w:spacing w:after="120"/>
      </w:pPr>
      <w:r>
        <w:rPr>
          <w:color w:val="626262"/>
          <w:sz w:val="18"/>
        </w:rPr>
        <w:t>Applications mobiles Android et multiplateforme, applications compagnon.</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MO01   </w:t>
            </w:r>
            <w:r>
              <w:rPr>
                <w:b/>
                <w:color w:val="FFFFFF"/>
                <w:sz w:val="20"/>
              </w:rPr>
              <w:t>Application mobile (Android)</w:t>
            </w:r>
            <w:r>
              <w:rPr>
                <w:b/>
                <w:color w:val="FFFFFF"/>
                <w:sz w:val="19"/>
              </w:rPr>
              <w:tab/>
              <w:t>2 750 000 – 5 500 000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mobile pour Android avec un parcours principal, connectée à un service en ligne.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UI/UX des écrans principaux</w:t>
            </w:r>
          </w:p>
          <w:p>
            <w:pPr>
              <w:pStyle w:val="TTGCell"/>
              <w:keepNext/>
              <w:keepLines/>
              <w:ind w:left="170" w:hanging="170"/>
            </w:pPr>
            <w:r>
              <w:rPr>
                <w:b/>
                <w:color w:val="00A676"/>
                <w:sz w:val="16"/>
              </w:rPr>
              <w:t xml:space="preserve">• </w:t>
            </w:r>
            <w:r>
              <w:rPr>
                <w:sz w:val="16"/>
              </w:rPr>
              <w:t>Développement Android</w:t>
            </w:r>
          </w:p>
          <w:p>
            <w:pPr>
              <w:pStyle w:val="TTGCell"/>
              <w:keepNext/>
              <w:keepLines/>
              <w:ind w:left="170" w:hanging="170"/>
            </w:pPr>
            <w:r>
              <w:rPr>
                <w:b/>
                <w:color w:val="00A676"/>
                <w:sz w:val="16"/>
              </w:rPr>
              <w:t xml:space="preserve">• </w:t>
            </w:r>
            <w:r>
              <w:rPr>
                <w:sz w:val="16"/>
              </w:rPr>
              <w:t>Connexion à un service en ligne (API fournie ou développée en option)</w:t>
            </w:r>
          </w:p>
          <w:p>
            <w:pPr>
              <w:pStyle w:val="TTGCell"/>
              <w:keepNext/>
              <w:keepLines/>
              <w:ind w:left="170" w:hanging="170"/>
            </w:pPr>
            <w:r>
              <w:rPr>
                <w:b/>
                <w:color w:val="00A676"/>
                <w:sz w:val="16"/>
              </w:rPr>
              <w:t xml:space="preserve">• </w:t>
            </w:r>
            <w:r>
              <w:rPr>
                <w:sz w:val="16"/>
              </w:rPr>
              <w:t>Tests sur appareils</w:t>
            </w:r>
          </w:p>
          <w:p>
            <w:pPr>
              <w:pStyle w:val="TTGCell"/>
              <w:keepNext/>
              <w:keepLines/>
              <w:ind w:left="170" w:hanging="170"/>
            </w:pPr>
            <w:r>
              <w:rPr>
                <w:b/>
                <w:color w:val="00A676"/>
                <w:sz w:val="16"/>
              </w:rPr>
              <w:t xml:space="preserve">• </w:t>
            </w:r>
            <w:r>
              <w:rPr>
                <w:sz w:val="16"/>
              </w:rPr>
              <w:t>Publication sur la boutique d’applications (compte du client)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 installable</w:t>
            </w:r>
          </w:p>
          <w:p>
            <w:pPr>
              <w:pStyle w:val="TTGCell"/>
              <w:keepNext/>
              <w:keepLines/>
              <w:ind w:left="170" w:hanging="170"/>
            </w:pPr>
            <w:r>
              <w:rPr>
                <w:b/>
                <w:color w:val="00A676"/>
                <w:sz w:val="16"/>
              </w:rPr>
              <w:t xml:space="preserve">• </w:t>
            </w:r>
            <w:r>
              <w:rPr>
                <w:sz w:val="16"/>
              </w:rPr>
              <w:t>Code source remis selon contrat</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Version iOS</w:t>
            </w:r>
          </w:p>
          <w:p>
            <w:pPr>
              <w:pStyle w:val="TTGCell"/>
              <w:keepNext w:val="0"/>
              <w:keepLines/>
              <w:ind w:left="170" w:hanging="170"/>
            </w:pPr>
            <w:r>
              <w:rPr>
                <w:b/>
                <w:color w:val="00A676"/>
                <w:sz w:val="16"/>
              </w:rPr>
              <w:t xml:space="preserve">• </w:t>
            </w:r>
            <w:r>
              <w:rPr>
                <w:sz w:val="16"/>
              </w:rPr>
              <w:t>Développement du serveur (sur devis)</w:t>
            </w:r>
          </w:p>
          <w:p>
            <w:pPr>
              <w:pStyle w:val="TTGCell"/>
              <w:keepNext w:val="0"/>
              <w:keepLines/>
              <w:ind w:left="170" w:hanging="170"/>
            </w:pPr>
            <w:r>
              <w:rPr>
                <w:b/>
                <w:color w:val="00A676"/>
                <w:sz w:val="16"/>
              </w:rPr>
              <w:t xml:space="preserve">• </w:t>
            </w:r>
            <w:r>
              <w:rPr>
                <w:sz w:val="16"/>
              </w:rPr>
              <w:t>Frais de compte développeur des boutiques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w:t>
            </w:r>
          </w:p>
          <w:p>
            <w:pPr>
              <w:pStyle w:val="TTGCell"/>
              <w:keepNext w:val="0"/>
              <w:keepLines/>
              <w:ind w:left="170" w:hanging="170"/>
            </w:pPr>
            <w:r>
              <w:rPr>
                <w:b/>
                <w:color w:val="00A676"/>
                <w:sz w:val="16"/>
              </w:rPr>
              <w:t xml:space="preserve">• </w:t>
            </w:r>
            <w:r>
              <w:rPr>
                <w:sz w:val="16"/>
              </w:rPr>
              <w:t>Fonctions hors-ligne</w:t>
            </w:r>
          </w:p>
          <w:p>
            <w:pPr>
              <w:pStyle w:val="TTGCell"/>
              <w:keepNext w:val="0"/>
              <w:keepLines/>
              <w:ind w:left="170" w:hanging="170"/>
            </w:pPr>
            <w:r>
              <w:rPr>
                <w:b/>
                <w:color w:val="00A676"/>
                <w:sz w:val="16"/>
              </w:rPr>
              <w:t xml:space="preserve">• </w:t>
            </w:r>
            <w:r>
              <w:rPr>
                <w:sz w:val="16"/>
              </w:rPr>
              <w:t>Notifications, géolocalisation, paiement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MO02   </w:t>
            </w:r>
            <w:r>
              <w:rPr>
                <w:b/>
                <w:color w:val="FFFFFF"/>
                <w:sz w:val="20"/>
              </w:rPr>
              <w:t>Application mobile multiplateforme (Android et iOS)</w:t>
            </w:r>
            <w:r>
              <w:rPr>
                <w:b/>
                <w:color w:val="FFFFFF"/>
                <w:sz w:val="19"/>
              </w:rPr>
              <w:tab/>
              <w:t>3 950 000 – 7 900 000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unique pour Android et iOS, adaptée aux usages et aux connexions variables.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UI/UX complète</w:t>
            </w:r>
          </w:p>
          <w:p>
            <w:pPr>
              <w:pStyle w:val="TTGCell"/>
              <w:keepNext/>
              <w:keepLines/>
              <w:ind w:left="170" w:hanging="170"/>
            </w:pPr>
            <w:r>
              <w:rPr>
                <w:b/>
                <w:color w:val="00A676"/>
                <w:sz w:val="16"/>
              </w:rPr>
              <w:t xml:space="preserve">• </w:t>
            </w:r>
            <w:r>
              <w:rPr>
                <w:sz w:val="16"/>
              </w:rPr>
              <w:t>Développement multiplateforme</w:t>
            </w:r>
          </w:p>
          <w:p>
            <w:pPr>
              <w:pStyle w:val="TTGCell"/>
              <w:keepNext/>
              <w:keepLines/>
              <w:ind w:left="170" w:hanging="170"/>
            </w:pPr>
            <w:r>
              <w:rPr>
                <w:b/>
                <w:color w:val="00A676"/>
                <w:sz w:val="16"/>
              </w:rPr>
              <w:t xml:space="preserve">• </w:t>
            </w:r>
            <w:r>
              <w:rPr>
                <w:sz w:val="16"/>
              </w:rPr>
              <w:t>Mode hors-ligne limité</w:t>
            </w:r>
          </w:p>
          <w:p>
            <w:pPr>
              <w:pStyle w:val="TTGCell"/>
              <w:keepNext/>
              <w:keepLines/>
              <w:ind w:left="170" w:hanging="170"/>
            </w:pPr>
            <w:r>
              <w:rPr>
                <w:b/>
                <w:color w:val="00A676"/>
                <w:sz w:val="16"/>
              </w:rPr>
              <w:t xml:space="preserve">• </w:t>
            </w:r>
            <w:r>
              <w:rPr>
                <w:sz w:val="16"/>
              </w:rPr>
              <w:t>Notifications</w:t>
            </w:r>
          </w:p>
          <w:p>
            <w:pPr>
              <w:pStyle w:val="TTGCell"/>
              <w:keepNext/>
              <w:keepLines/>
              <w:ind w:left="170" w:hanging="170"/>
            </w:pPr>
            <w:r>
              <w:rPr>
                <w:b/>
                <w:color w:val="00A676"/>
                <w:sz w:val="16"/>
              </w:rPr>
              <w:t xml:space="preserve">• </w:t>
            </w:r>
            <w:r>
              <w:rPr>
                <w:sz w:val="16"/>
              </w:rPr>
              <w:t>Tests sur appareils</w:t>
            </w:r>
          </w:p>
          <w:p>
            <w:pPr>
              <w:pStyle w:val="TTGCell"/>
              <w:keepNext/>
              <w:keepLines/>
              <w:ind w:left="170" w:hanging="170"/>
            </w:pPr>
            <w:r>
              <w:rPr>
                <w:b/>
                <w:color w:val="00A676"/>
                <w:sz w:val="16"/>
              </w:rPr>
              <w:t xml:space="preserve">• </w:t>
            </w:r>
            <w:r>
              <w:rPr>
                <w:sz w:val="16"/>
              </w:rPr>
              <w:t>Publication sur les deux boutiques (comptes du client)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Applications Android et iOS</w:t>
            </w:r>
          </w:p>
          <w:p>
            <w:pPr>
              <w:pStyle w:val="TTGCell"/>
              <w:keepNext/>
              <w:keepLines/>
              <w:ind w:left="170" w:hanging="170"/>
            </w:pPr>
            <w:r>
              <w:rPr>
                <w:b/>
                <w:color w:val="00A676"/>
                <w:sz w:val="16"/>
              </w:rPr>
              <w:t xml:space="preserve">• </w:t>
            </w:r>
            <w:r>
              <w:rPr>
                <w:sz w:val="16"/>
              </w:rPr>
              <w:t>Maquettes</w:t>
            </w:r>
          </w:p>
          <w:p>
            <w:pPr>
              <w:pStyle w:val="TTGCell"/>
              <w:keepNext/>
              <w:keepLines/>
              <w:ind w:left="170" w:hanging="170"/>
            </w:pPr>
            <w:r>
              <w:rPr>
                <w:b/>
                <w:color w:val="00A676"/>
                <w:sz w:val="16"/>
              </w:rPr>
              <w:t xml:space="preserve">• </w:t>
            </w:r>
            <w:r>
              <w:rPr>
                <w:sz w:val="16"/>
              </w:rPr>
              <w:t>Documentation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10 à 16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Serveur et API (sur devis)</w:t>
            </w:r>
          </w:p>
          <w:p>
            <w:pPr>
              <w:pStyle w:val="TTGCell"/>
              <w:keepNext w:val="0"/>
              <w:keepLines/>
              <w:ind w:left="170" w:hanging="170"/>
            </w:pPr>
            <w:r>
              <w:rPr>
                <w:b/>
                <w:color w:val="00A676"/>
                <w:sz w:val="16"/>
              </w:rPr>
              <w:t xml:space="preserve">• </w:t>
            </w:r>
            <w:r>
              <w:rPr>
                <w:sz w:val="16"/>
              </w:rPr>
              <w:t>Frais de compte développeur des boutiques</w:t>
            </w:r>
          </w:p>
          <w:p>
            <w:pPr>
              <w:pStyle w:val="TTGCell"/>
              <w:keepNext w:val="0"/>
              <w:keepLines/>
              <w:ind w:left="170" w:hanging="170"/>
            </w:pPr>
            <w:r>
              <w:rPr>
                <w:b/>
                <w:color w:val="00A676"/>
                <w:sz w:val="16"/>
              </w:rPr>
              <w:t xml:space="preserve">• </w:t>
            </w:r>
            <w:r>
              <w:rPr>
                <w:sz w:val="16"/>
              </w:rPr>
              <w:t>Maintenance après garantie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d’écrans</w:t>
            </w:r>
          </w:p>
          <w:p>
            <w:pPr>
              <w:pStyle w:val="TTGCell"/>
              <w:keepNext w:val="0"/>
              <w:keepLines/>
              <w:ind w:left="170" w:hanging="170"/>
            </w:pPr>
            <w:r>
              <w:rPr>
                <w:b/>
                <w:color w:val="00A676"/>
                <w:sz w:val="16"/>
              </w:rPr>
              <w:t xml:space="preserve">• </w:t>
            </w:r>
            <w:r>
              <w:rPr>
                <w:sz w:val="16"/>
              </w:rPr>
              <w:t>Fonctions natives (caméra, géolocalisation)</w:t>
            </w:r>
          </w:p>
          <w:p>
            <w:pPr>
              <w:pStyle w:val="TTGCell"/>
              <w:keepNext w:val="0"/>
              <w:keepLines/>
              <w:ind w:left="170" w:hanging="170"/>
            </w:pPr>
            <w:r>
              <w:rPr>
                <w:b/>
                <w:color w:val="00A676"/>
                <w:sz w:val="16"/>
              </w:rPr>
              <w:t xml:space="preserve">• </w:t>
            </w:r>
            <w:r>
              <w:rPr>
                <w:sz w:val="16"/>
              </w:rPr>
              <w:t>Exigences de sécurité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MO03   </w:t>
            </w:r>
            <w:r>
              <w:rPr>
                <w:b/>
                <w:color w:val="FFFFFF"/>
                <w:sz w:val="20"/>
              </w:rPr>
              <w:t>Application mobile compagnon de plateforme</w:t>
            </w:r>
            <w:r>
              <w:rPr>
                <w:b/>
                <w:color w:val="FFFFFF"/>
                <w:sz w:val="19"/>
              </w:rPr>
              <w:tab/>
              <w:t>2 050 000 – 4 100 000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Application mobile reprenant les fonctions essentielles d’une plateforme web existante (consultation, notifications, actions rapides).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Sélection des fonctions essentielles</w:t>
            </w:r>
          </w:p>
          <w:p>
            <w:pPr>
              <w:pStyle w:val="TTGCell"/>
              <w:keepNext/>
              <w:keepLines/>
              <w:ind w:left="170" w:hanging="170"/>
            </w:pPr>
            <w:r>
              <w:rPr>
                <w:b/>
                <w:color w:val="00A676"/>
                <w:sz w:val="16"/>
              </w:rPr>
              <w:t xml:space="preserve">• </w:t>
            </w:r>
            <w:r>
              <w:rPr>
                <w:sz w:val="16"/>
              </w:rPr>
              <w:t>Conception adaptée au mobile</w:t>
            </w:r>
          </w:p>
          <w:p>
            <w:pPr>
              <w:pStyle w:val="TTGCell"/>
              <w:keepNext/>
              <w:keepLines/>
              <w:ind w:left="170" w:hanging="170"/>
            </w:pPr>
            <w:r>
              <w:rPr>
                <w:b/>
                <w:color w:val="00A676"/>
                <w:sz w:val="16"/>
              </w:rPr>
              <w:t xml:space="preserve">• </w:t>
            </w:r>
            <w:r>
              <w:rPr>
                <w:sz w:val="16"/>
              </w:rPr>
              <w:t>Développement et connexion à l’API existante</w:t>
            </w:r>
          </w:p>
          <w:p>
            <w:pPr>
              <w:pStyle w:val="TTGCell"/>
              <w:keepNext/>
              <w:keepLines/>
              <w:ind w:left="170" w:hanging="170"/>
            </w:pPr>
            <w:r>
              <w:rPr>
                <w:b/>
                <w:color w:val="00A676"/>
                <w:sz w:val="16"/>
              </w:rPr>
              <w:t xml:space="preserve">• </w:t>
            </w:r>
            <w:r>
              <w:rPr>
                <w:sz w:val="16"/>
              </w:rPr>
              <w:t>Tests et publication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Application installable</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10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Modification de la plateforme existante</w:t>
            </w:r>
          </w:p>
          <w:p>
            <w:pPr>
              <w:pStyle w:val="TTGCell"/>
              <w:keepNext w:val="0"/>
              <w:keepLines/>
              <w:ind w:left="170" w:hanging="170"/>
            </w:pPr>
            <w:r>
              <w:rPr>
                <w:b/>
                <w:color w:val="00A676"/>
                <w:sz w:val="16"/>
              </w:rPr>
              <w:t xml:space="preserve">• </w:t>
            </w:r>
            <w:r>
              <w:rPr>
                <w:sz w:val="16"/>
              </w:rPr>
              <w:t>Frais de compte développeur des boutiques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API disponibles</w:t>
            </w:r>
          </w:p>
          <w:p>
            <w:pPr>
              <w:pStyle w:val="TTGCell"/>
              <w:keepNext w:val="0"/>
              <w:keepLines/>
              <w:ind w:left="170" w:hanging="170"/>
            </w:pPr>
            <w:r>
              <w:rPr>
                <w:b/>
                <w:color w:val="00A676"/>
                <w:sz w:val="16"/>
              </w:rPr>
              <w:t xml:space="preserve">• </w:t>
            </w:r>
            <w:r>
              <w:rPr>
                <w:sz w:val="16"/>
              </w:rPr>
              <w:t>Nombre de fonctions</w:t>
            </w:r>
          </w:p>
          <w:p>
            <w:pPr>
              <w:pStyle w:val="TTGCell"/>
              <w:keepNext w:val="0"/>
              <w:keepLines/>
              <w:ind w:left="170" w:hanging="170"/>
            </w:pPr>
            <w:r>
              <w:rPr>
                <w:b/>
                <w:color w:val="00A676"/>
                <w:sz w:val="16"/>
              </w:rPr>
              <w:t xml:space="preserve">• </w:t>
            </w:r>
            <w:r>
              <w:rPr>
                <w:sz w:val="16"/>
              </w:rPr>
              <w:t>Android seul ou Android et iOS</w:t>
            </w:r>
          </w:p>
        </w:tc>
      </w:tr>
    </w:tbl>
    <w:p>
      <w:pPr>
        <w:spacing w:after="140"/>
      </w:pPr>
    </w:p>
    <w:p>
      <w:pPr>
        <w:pStyle w:val="Heading2"/>
      </w:pPr>
      <w:r>
        <w:t>Solutions métier spécialisées</w:t>
      </w:r>
    </w:p>
    <w:p>
      <w:pPr>
        <w:keepNext/>
        <w:spacing w:after="120"/>
      </w:pPr>
      <w:r>
        <w:rPr>
          <w:color w:val="626262"/>
          <w:sz w:val="18"/>
        </w:rPr>
        <w:t>Solutions pour associations et ordres, établissements de formation, ONG et PME commerciales.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SM01   </w:t>
            </w:r>
            <w:r>
              <w:rPr>
                <w:b/>
                <w:color w:val="FFFFFF"/>
                <w:sz w:val="20"/>
              </w:rPr>
              <w:t>Gestion de membres et de cotisations</w:t>
            </w:r>
            <w:r>
              <w:rPr>
                <w:b/>
                <w:color w:val="FFFFFF"/>
                <w:sz w:val="19"/>
              </w:rPr>
              <w:tab/>
              <w:t>2 600 000 – 5 200 000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pour associations, ordres, syndicats et réseaux : fichier des membres, cotisations, cartes, événements et communication.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Fichier des membres et catégories</w:t>
            </w:r>
          </w:p>
          <w:p>
            <w:pPr>
              <w:pStyle w:val="TTGCell"/>
              <w:keepNext/>
              <w:keepLines/>
              <w:ind w:left="170" w:hanging="170"/>
            </w:pPr>
            <w:r>
              <w:rPr>
                <w:b/>
                <w:color w:val="00A676"/>
                <w:sz w:val="16"/>
              </w:rPr>
              <w:t xml:space="preserve">• </w:t>
            </w:r>
            <w:r>
              <w:rPr>
                <w:sz w:val="16"/>
              </w:rPr>
              <w:t>Suivi des cotisations et relances</w:t>
            </w:r>
          </w:p>
          <w:p>
            <w:pPr>
              <w:pStyle w:val="TTGCell"/>
              <w:keepNext/>
              <w:keepLines/>
              <w:ind w:left="170" w:hanging="170"/>
            </w:pPr>
            <w:r>
              <w:rPr>
                <w:b/>
                <w:color w:val="00A676"/>
                <w:sz w:val="16"/>
              </w:rPr>
              <w:t xml:space="preserve">• </w:t>
            </w:r>
            <w:r>
              <w:rPr>
                <w:sz w:val="16"/>
              </w:rPr>
              <w:t>Cartes de membre au format PDF</w:t>
            </w:r>
          </w:p>
          <w:p>
            <w:pPr>
              <w:pStyle w:val="TTGCell"/>
              <w:keepNext/>
              <w:keepLines/>
              <w:ind w:left="170" w:hanging="170"/>
            </w:pPr>
            <w:r>
              <w:rPr>
                <w:b/>
                <w:color w:val="00A676"/>
                <w:sz w:val="16"/>
              </w:rPr>
              <w:t xml:space="preserve">• </w:t>
            </w:r>
            <w:r>
              <w:rPr>
                <w:sz w:val="16"/>
              </w:rPr>
              <w:t>Annonces et événements</w:t>
            </w:r>
          </w:p>
          <w:p>
            <w:pPr>
              <w:pStyle w:val="TTGCell"/>
              <w:keepNext/>
              <w:keepLines/>
              <w:ind w:left="170" w:hanging="170"/>
            </w:pPr>
            <w:r>
              <w:rPr>
                <w:b/>
                <w:color w:val="00A676"/>
                <w:sz w:val="16"/>
              </w:rPr>
              <w:t xml:space="preserve">• </w:t>
            </w:r>
            <w:r>
              <w:rPr>
                <w:sz w:val="16"/>
              </w:rPr>
              <w:t>Espace membre</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Guide administrateur</w:t>
            </w:r>
          </w:p>
          <w:p>
            <w:pPr>
              <w:pStyle w:val="TTGCell"/>
              <w:keepNext/>
              <w:keepLines/>
              <w:ind w:left="170" w:hanging="170"/>
            </w:pPr>
            <w:r>
              <w:rPr>
                <w:b/>
                <w:color w:val="00A676"/>
                <w:sz w:val="16"/>
              </w:rPr>
              <w:t xml:space="preserve">• </w:t>
            </w:r>
            <w:r>
              <w:rPr>
                <w:sz w:val="16"/>
              </w:rPr>
              <w:t>Modèles de documents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Paiement en ligne</w:t>
            </w:r>
          </w:p>
          <w:p>
            <w:pPr>
              <w:pStyle w:val="TTGCell"/>
              <w:keepNext w:val="0"/>
              <w:keepLines/>
              <w:ind w:left="170" w:hanging="170"/>
            </w:pPr>
            <w:r>
              <w:rPr>
                <w:b/>
                <w:color w:val="00A676"/>
                <w:sz w:val="16"/>
              </w:rPr>
              <w:t xml:space="preserve">• </w:t>
            </w:r>
            <w:r>
              <w:rPr>
                <w:sz w:val="16"/>
              </w:rPr>
              <w:t>Production de cartes plastiques</w:t>
            </w:r>
          </w:p>
          <w:p>
            <w:pPr>
              <w:pStyle w:val="TTGCell"/>
              <w:keepNext w:val="0"/>
              <w:keepLines/>
              <w:ind w:left="170" w:hanging="170"/>
            </w:pPr>
            <w:r>
              <w:rPr>
                <w:b/>
                <w:color w:val="00A676"/>
                <w:sz w:val="16"/>
              </w:rPr>
              <w:t xml:space="preserve">• </w:t>
            </w:r>
            <w:r>
              <w:rPr>
                <w:sz w:val="16"/>
              </w:rPr>
              <w:t>Reprise d’archives papier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membres</w:t>
            </w:r>
          </w:p>
          <w:p>
            <w:pPr>
              <w:pStyle w:val="TTGCell"/>
              <w:keepNext w:val="0"/>
              <w:keepLines/>
              <w:ind w:left="170" w:hanging="170"/>
            </w:pPr>
            <w:r>
              <w:rPr>
                <w:b/>
                <w:color w:val="00A676"/>
                <w:sz w:val="16"/>
              </w:rPr>
              <w:t xml:space="preserve">• </w:t>
            </w:r>
            <w:r>
              <w:rPr>
                <w:sz w:val="16"/>
              </w:rPr>
              <w:t>Catégories de cotisations</w:t>
            </w:r>
          </w:p>
          <w:p>
            <w:pPr>
              <w:pStyle w:val="TTGCell"/>
              <w:keepNext w:val="0"/>
              <w:keepLines/>
              <w:ind w:left="170" w:hanging="170"/>
            </w:pPr>
            <w:r>
              <w:rPr>
                <w:b/>
                <w:color w:val="00A676"/>
                <w:sz w:val="16"/>
              </w:rPr>
              <w:t xml:space="preserve">• </w:t>
            </w:r>
            <w:r>
              <w:rPr>
                <w:sz w:val="16"/>
              </w:rPr>
              <w:t>Reprise de l’historique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SM02   </w:t>
            </w:r>
            <w:r>
              <w:rPr>
                <w:b/>
                <w:color w:val="FFFFFF"/>
                <w:sz w:val="20"/>
              </w:rPr>
              <w:t>Gestion d’établissement de formation</w:t>
            </w:r>
            <w:r>
              <w:rPr>
                <w:b/>
                <w:color w:val="FFFFFF"/>
                <w:sz w:val="19"/>
              </w:rPr>
              <w:tab/>
              <w:t>2 500 000 – 5 000 000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pour centres de formation et écoles : inscriptions, groupes, plannings, présences, notes et attestations.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Inscriptions et dossiers des apprenants</w:t>
            </w:r>
          </w:p>
          <w:p>
            <w:pPr>
              <w:pStyle w:val="TTGCell"/>
              <w:keepNext/>
              <w:keepLines/>
              <w:ind w:left="170" w:hanging="170"/>
            </w:pPr>
            <w:r>
              <w:rPr>
                <w:b/>
                <w:color w:val="00A676"/>
                <w:sz w:val="16"/>
              </w:rPr>
              <w:t xml:space="preserve">• </w:t>
            </w:r>
            <w:r>
              <w:rPr>
                <w:sz w:val="16"/>
              </w:rPr>
              <w:t>Plannings et salles</w:t>
            </w:r>
          </w:p>
          <w:p>
            <w:pPr>
              <w:pStyle w:val="TTGCell"/>
              <w:keepNext/>
              <w:keepLines/>
              <w:ind w:left="170" w:hanging="170"/>
            </w:pPr>
            <w:r>
              <w:rPr>
                <w:b/>
                <w:color w:val="00A676"/>
                <w:sz w:val="16"/>
              </w:rPr>
              <w:t xml:space="preserve">• </w:t>
            </w:r>
            <w:r>
              <w:rPr>
                <w:sz w:val="16"/>
              </w:rPr>
              <w:t>Présences et évaluations</w:t>
            </w:r>
          </w:p>
          <w:p>
            <w:pPr>
              <w:pStyle w:val="TTGCell"/>
              <w:keepNext/>
              <w:keepLines/>
              <w:ind w:left="170" w:hanging="170"/>
            </w:pPr>
            <w:r>
              <w:rPr>
                <w:b/>
                <w:color w:val="00A676"/>
                <w:sz w:val="16"/>
              </w:rPr>
              <w:t xml:space="preserve">• </w:t>
            </w:r>
            <w:r>
              <w:rPr>
                <w:sz w:val="16"/>
              </w:rPr>
              <w:t>Édition d’attestations et de relevés</w:t>
            </w:r>
          </w:p>
          <w:p>
            <w:pPr>
              <w:pStyle w:val="TTGCell"/>
              <w:keepNext/>
              <w:keepLines/>
              <w:ind w:left="170" w:hanging="170"/>
            </w:pPr>
            <w:r>
              <w:rPr>
                <w:b/>
                <w:color w:val="00A676"/>
                <w:sz w:val="16"/>
              </w:rPr>
              <w:t xml:space="preserve">• </w:t>
            </w:r>
            <w:r>
              <w:rPr>
                <w:sz w:val="16"/>
              </w:rPr>
              <w:t>Suivi des paiements</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Guide administrateur</w:t>
            </w:r>
          </w:p>
          <w:p>
            <w:pPr>
              <w:pStyle w:val="TTGCell"/>
              <w:keepNext/>
              <w:keepLines/>
              <w:ind w:left="170" w:hanging="170"/>
            </w:pPr>
            <w:r>
              <w:rPr>
                <w:b/>
                <w:color w:val="00A676"/>
                <w:sz w:val="16"/>
              </w:rPr>
              <w:t xml:space="preserve">• </w:t>
            </w:r>
            <w:r>
              <w:rPr>
                <w:sz w:val="16"/>
              </w:rPr>
              <w:t>Modèles de documents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Plateforme de cours en ligne (voir PL04)</w:t>
            </w:r>
          </w:p>
          <w:p>
            <w:pPr>
              <w:pStyle w:val="TTGCell"/>
              <w:keepNext w:val="0"/>
              <w:keepLines/>
              <w:ind w:left="170" w:hanging="170"/>
            </w:pPr>
            <w:r>
              <w:rPr>
                <w:b/>
                <w:color w:val="00A676"/>
                <w:sz w:val="16"/>
              </w:rPr>
              <w:t xml:space="preserve">• </w:t>
            </w:r>
            <w:r>
              <w:rPr>
                <w:sz w:val="16"/>
              </w:rPr>
              <w:t>Reprise d’archives papier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d’apprenants</w:t>
            </w:r>
          </w:p>
          <w:p>
            <w:pPr>
              <w:pStyle w:val="TTGCell"/>
              <w:keepNext w:val="0"/>
              <w:keepLines/>
              <w:ind w:left="170" w:hanging="170"/>
            </w:pPr>
            <w:r>
              <w:rPr>
                <w:b/>
                <w:color w:val="00A676"/>
                <w:sz w:val="16"/>
              </w:rPr>
              <w:t xml:space="preserve">• </w:t>
            </w:r>
            <w:r>
              <w:rPr>
                <w:sz w:val="16"/>
              </w:rPr>
              <w:t>Types de formations</w:t>
            </w:r>
          </w:p>
          <w:p>
            <w:pPr>
              <w:pStyle w:val="TTGCell"/>
              <w:keepNext w:val="0"/>
              <w:keepLines/>
              <w:ind w:left="170" w:hanging="170"/>
            </w:pPr>
            <w:r>
              <w:rPr>
                <w:b/>
                <w:color w:val="00A676"/>
                <w:sz w:val="16"/>
              </w:rPr>
              <w:t xml:space="preserve">• </w:t>
            </w:r>
            <w:r>
              <w:rPr>
                <w:sz w:val="16"/>
              </w:rPr>
              <w:t>Édition de documents officiels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SM03   </w:t>
            </w:r>
            <w:r>
              <w:rPr>
                <w:b/>
                <w:color w:val="FFFFFF"/>
                <w:sz w:val="20"/>
              </w:rPr>
              <w:t>Suivi-évaluation de projets (ONG)</w:t>
            </w:r>
            <w:r>
              <w:rPr>
                <w:b/>
                <w:color w:val="FFFFFF"/>
                <w:sz w:val="19"/>
              </w:rPr>
              <w:tab/>
              <w:t>2 550 000 – 5 100 000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de suivi des activités, indicateurs et budgets de projets, avec rapports pour les partenaires et bailleurs.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Cadre logique et indicateurs paramétrables</w:t>
            </w:r>
          </w:p>
          <w:p>
            <w:pPr>
              <w:pStyle w:val="TTGCell"/>
              <w:keepNext/>
              <w:keepLines/>
              <w:ind w:left="170" w:hanging="170"/>
            </w:pPr>
            <w:r>
              <w:rPr>
                <w:b/>
                <w:color w:val="00A676"/>
                <w:sz w:val="16"/>
              </w:rPr>
              <w:t xml:space="preserve">• </w:t>
            </w:r>
            <w:r>
              <w:rPr>
                <w:sz w:val="16"/>
              </w:rPr>
              <w:t>Saisie des activités et des résultats</w:t>
            </w:r>
          </w:p>
          <w:p>
            <w:pPr>
              <w:pStyle w:val="TTGCell"/>
              <w:keepNext/>
              <w:keepLines/>
              <w:ind w:left="170" w:hanging="170"/>
            </w:pPr>
            <w:r>
              <w:rPr>
                <w:b/>
                <w:color w:val="00A676"/>
                <w:sz w:val="16"/>
              </w:rPr>
              <w:t xml:space="preserve">• </w:t>
            </w:r>
            <w:r>
              <w:rPr>
                <w:sz w:val="16"/>
              </w:rPr>
              <w:t>Suivi budgétaire simplifié</w:t>
            </w:r>
          </w:p>
          <w:p>
            <w:pPr>
              <w:pStyle w:val="TTGCell"/>
              <w:keepNext/>
              <w:keepLines/>
              <w:ind w:left="170" w:hanging="170"/>
            </w:pPr>
            <w:r>
              <w:rPr>
                <w:b/>
                <w:color w:val="00A676"/>
                <w:sz w:val="16"/>
              </w:rPr>
              <w:t xml:space="preserve">• </w:t>
            </w:r>
            <w:r>
              <w:rPr>
                <w:sz w:val="16"/>
              </w:rPr>
              <w:t>Rapports exportables</w:t>
            </w:r>
          </w:p>
          <w:p>
            <w:pPr>
              <w:pStyle w:val="TTGCell"/>
              <w:keepNext/>
              <w:keepLines/>
              <w:ind w:left="170" w:hanging="170"/>
            </w:pPr>
            <w:r>
              <w:rPr>
                <w:b/>
                <w:color w:val="00A676"/>
                <w:sz w:val="16"/>
              </w:rPr>
              <w:t xml:space="preserve">• </w:t>
            </w:r>
            <w:r>
              <w:rPr>
                <w:sz w:val="16"/>
              </w:rPr>
              <w:t>Tableaux de bord</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Modèle de rapport</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Collecte de données sur le terrain hors connexion (option)</w:t>
            </w:r>
          </w:p>
          <w:p>
            <w:pPr>
              <w:pStyle w:val="TTGCell"/>
              <w:keepNext w:val="0"/>
              <w:keepLines/>
              <w:ind w:left="170" w:hanging="170"/>
            </w:pPr>
            <w:r>
              <w:rPr>
                <w:b/>
                <w:color w:val="00A676"/>
                <w:sz w:val="16"/>
              </w:rPr>
              <w:t xml:space="preserve">• </w:t>
            </w:r>
            <w:r>
              <w:rPr>
                <w:sz w:val="16"/>
              </w:rPr>
              <w:t>Audit financier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projets et d’indicateurs</w:t>
            </w:r>
          </w:p>
          <w:p>
            <w:pPr>
              <w:pStyle w:val="TTGCell"/>
              <w:keepNext w:val="0"/>
              <w:keepLines/>
              <w:ind w:left="170" w:hanging="170"/>
            </w:pPr>
            <w:r>
              <w:rPr>
                <w:b/>
                <w:color w:val="00A676"/>
                <w:sz w:val="16"/>
              </w:rPr>
              <w:t xml:space="preserve">• </w:t>
            </w:r>
            <w:r>
              <w:rPr>
                <w:sz w:val="16"/>
              </w:rPr>
              <w:t>Formats de rapports exigés</w:t>
            </w:r>
          </w:p>
          <w:p>
            <w:pPr>
              <w:pStyle w:val="TTGCell"/>
              <w:keepNext w:val="0"/>
              <w:keepLines/>
              <w:ind w:left="170" w:hanging="170"/>
            </w:pPr>
            <w:r>
              <w:rPr>
                <w:b/>
                <w:color w:val="00A676"/>
                <w:sz w:val="16"/>
              </w:rPr>
              <w:t xml:space="preserve">• </w:t>
            </w:r>
            <w:r>
              <w:rPr>
                <w:sz w:val="16"/>
              </w:rPr>
              <w:t>Collecte hors-ligne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SM04   </w:t>
            </w:r>
            <w:r>
              <w:rPr>
                <w:b/>
                <w:color w:val="FFFFFF"/>
                <w:sz w:val="20"/>
              </w:rPr>
              <w:t>Gestion commerciale et de stocks pour PME</w:t>
            </w:r>
            <w:r>
              <w:rPr>
                <w:b/>
                <w:color w:val="FFFFFF"/>
                <w:sz w:val="19"/>
              </w:rPr>
              <w:tab/>
              <w:t>2 100 000 – 4 250 000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Solution de gestion des ventes, achats, stocks et caisse pour commerces et distributeurs.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Articles, stocks, inventaires</w:t>
            </w:r>
          </w:p>
          <w:p>
            <w:pPr>
              <w:pStyle w:val="TTGCell"/>
              <w:keepNext/>
              <w:keepLines/>
              <w:ind w:left="170" w:hanging="170"/>
            </w:pPr>
            <w:r>
              <w:rPr>
                <w:b/>
                <w:color w:val="00A676"/>
                <w:sz w:val="16"/>
              </w:rPr>
              <w:t xml:space="preserve">• </w:t>
            </w:r>
            <w:r>
              <w:rPr>
                <w:sz w:val="16"/>
              </w:rPr>
              <w:t>Ventes, achats et fournisseurs</w:t>
            </w:r>
          </w:p>
          <w:p>
            <w:pPr>
              <w:pStyle w:val="TTGCell"/>
              <w:keepNext/>
              <w:keepLines/>
              <w:ind w:left="170" w:hanging="170"/>
            </w:pPr>
            <w:r>
              <w:rPr>
                <w:b/>
                <w:color w:val="00A676"/>
                <w:sz w:val="16"/>
              </w:rPr>
              <w:t xml:space="preserve">• </w:t>
            </w:r>
            <w:r>
              <w:rPr>
                <w:sz w:val="16"/>
              </w:rPr>
              <w:t>Caisse et reçus</w:t>
            </w:r>
          </w:p>
          <w:p>
            <w:pPr>
              <w:pStyle w:val="TTGCell"/>
              <w:keepNext/>
              <w:keepLines/>
              <w:ind w:left="170" w:hanging="170"/>
            </w:pPr>
            <w:r>
              <w:rPr>
                <w:b/>
                <w:color w:val="00A676"/>
                <w:sz w:val="16"/>
              </w:rPr>
              <w:t xml:space="preserve">• </w:t>
            </w:r>
            <w:r>
              <w:rPr>
                <w:sz w:val="16"/>
              </w:rPr>
              <w:t>Tableaux de bord</w:t>
            </w:r>
          </w:p>
          <w:p>
            <w:pPr>
              <w:pStyle w:val="TTGCell"/>
              <w:keepNext/>
              <w:keepLines/>
              <w:ind w:left="170" w:hanging="170"/>
            </w:pPr>
            <w:r>
              <w:rPr>
                <w:b/>
                <w:color w:val="00A676"/>
                <w:sz w:val="16"/>
              </w:rPr>
              <w:t xml:space="preserve">• </w:t>
            </w:r>
            <w:r>
              <w:rPr>
                <w:sz w:val="16"/>
              </w:rPr>
              <w:t>Formation (1 jour)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8 à 12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Matériel de caisse et codes-barres</w:t>
            </w:r>
          </w:p>
          <w:p>
            <w:pPr>
              <w:pStyle w:val="TTGCell"/>
              <w:keepNext w:val="0"/>
              <w:keepLines/>
              <w:ind w:left="170" w:hanging="170"/>
            </w:pPr>
            <w:r>
              <w:rPr>
                <w:b/>
                <w:color w:val="00A676"/>
                <w:sz w:val="16"/>
              </w:rPr>
              <w:t xml:space="preserve">• </w:t>
            </w:r>
            <w:r>
              <w:rPr>
                <w:sz w:val="16"/>
              </w:rPr>
              <w:t>Comptabilité générale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points de vente</w:t>
            </w:r>
          </w:p>
          <w:p>
            <w:pPr>
              <w:pStyle w:val="TTGCell"/>
              <w:keepNext w:val="0"/>
              <w:keepLines/>
              <w:ind w:left="170" w:hanging="170"/>
            </w:pPr>
            <w:r>
              <w:rPr>
                <w:b/>
                <w:color w:val="00A676"/>
                <w:sz w:val="16"/>
              </w:rPr>
              <w:t xml:space="preserve">• </w:t>
            </w:r>
            <w:r>
              <w:rPr>
                <w:sz w:val="16"/>
              </w:rPr>
              <w:t>Nombre d’articles</w:t>
            </w:r>
          </w:p>
          <w:p>
            <w:pPr>
              <w:pStyle w:val="TTGCell"/>
              <w:keepNext w:val="0"/>
              <w:keepLines/>
              <w:ind w:left="170" w:hanging="170"/>
            </w:pPr>
            <w:r>
              <w:rPr>
                <w:b/>
                <w:color w:val="00A676"/>
                <w:sz w:val="16"/>
              </w:rPr>
              <w:t xml:space="preserve">• </w:t>
            </w:r>
            <w:r>
              <w:rPr>
                <w:sz w:val="16"/>
              </w:rPr>
              <w:t>Intégrations de paiement</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SM05   </w:t>
            </w:r>
            <w:r>
              <w:rPr>
                <w:b/>
                <w:color w:val="FFFFFF"/>
                <w:sz w:val="20"/>
              </w:rPr>
              <w:t>Dématérialisation de dossiers et gestion documentaire</w:t>
            </w:r>
            <w:r>
              <w:rPr>
                <w:b/>
                <w:color w:val="FFFFFF"/>
                <w:sz w:val="19"/>
              </w:rPr>
              <w:tab/>
              <w:t>1 850 000 – 3 700 000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Archivage numérique, classement, recherche et circulation des documents avec droits d’accès.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Plan de classement et règles de nommage</w:t>
            </w:r>
          </w:p>
          <w:p>
            <w:pPr>
              <w:pStyle w:val="TTGCell"/>
              <w:keepNext/>
              <w:keepLines/>
              <w:ind w:left="170" w:hanging="170"/>
            </w:pPr>
            <w:r>
              <w:rPr>
                <w:b/>
                <w:color w:val="00A676"/>
                <w:sz w:val="16"/>
              </w:rPr>
              <w:t xml:space="preserve">• </w:t>
            </w:r>
            <w:r>
              <w:rPr>
                <w:sz w:val="16"/>
              </w:rPr>
              <w:t>Espace documentaire sécurisé</w:t>
            </w:r>
          </w:p>
          <w:p>
            <w:pPr>
              <w:pStyle w:val="TTGCell"/>
              <w:keepNext/>
              <w:keepLines/>
              <w:ind w:left="170" w:hanging="170"/>
            </w:pPr>
            <w:r>
              <w:rPr>
                <w:b/>
                <w:color w:val="00A676"/>
                <w:sz w:val="16"/>
              </w:rPr>
              <w:t xml:space="preserve">• </w:t>
            </w:r>
            <w:r>
              <w:rPr>
                <w:sz w:val="16"/>
              </w:rPr>
              <w:t>Recherche plein texte et métadonnées</w:t>
            </w:r>
          </w:p>
          <w:p>
            <w:pPr>
              <w:pStyle w:val="TTGCell"/>
              <w:keepNext/>
              <w:keepLines/>
              <w:ind w:left="170" w:hanging="170"/>
            </w:pPr>
            <w:r>
              <w:rPr>
                <w:b/>
                <w:color w:val="00A676"/>
                <w:sz w:val="16"/>
              </w:rPr>
              <w:t xml:space="preserve">• </w:t>
            </w:r>
            <w:r>
              <w:rPr>
                <w:sz w:val="16"/>
              </w:rPr>
              <w:t>Circuits de validation</w:t>
            </w:r>
          </w:p>
          <w:p>
            <w:pPr>
              <w:pStyle w:val="TTGCell"/>
              <w:keepNext/>
              <w:keepLines/>
              <w:ind w:left="170" w:hanging="170"/>
            </w:pPr>
            <w:r>
              <w:rPr>
                <w:b/>
                <w:color w:val="00A676"/>
                <w:sz w:val="16"/>
              </w:rPr>
              <w:t xml:space="preserve">• </w:t>
            </w:r>
            <w:r>
              <w:rPr>
                <w:sz w:val="16"/>
              </w:rPr>
              <w:t>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production</w:t>
            </w:r>
          </w:p>
          <w:p>
            <w:pPr>
              <w:pStyle w:val="TTGCell"/>
              <w:keepNext/>
              <w:keepLines/>
              <w:ind w:left="170" w:hanging="170"/>
            </w:pPr>
            <w:r>
              <w:rPr>
                <w:b/>
                <w:color w:val="00A676"/>
                <w:sz w:val="16"/>
              </w:rPr>
              <w:t xml:space="preserve">• </w:t>
            </w:r>
            <w:r>
              <w:rPr>
                <w:sz w:val="16"/>
              </w:rPr>
              <w:t>Plan de classement</w:t>
            </w:r>
          </w:p>
          <w:p>
            <w:pPr>
              <w:pStyle w:val="TTGCell"/>
              <w:keepNext/>
              <w:keepLines/>
              <w:ind w:left="170" w:hanging="170"/>
            </w:pPr>
            <w:r>
              <w:rPr>
                <w:b/>
                <w:color w:val="00A676"/>
                <w:sz w:val="16"/>
              </w:rPr>
              <w:t xml:space="preserve">• </w:t>
            </w:r>
            <w:r>
              <w:rPr>
                <w:sz w:val="16"/>
              </w:rPr>
              <w:t>Guide utilisateur</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6 à 10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Numérisation des archives papier</w:t>
            </w:r>
          </w:p>
          <w:p>
            <w:pPr>
              <w:pStyle w:val="TTGCell"/>
              <w:keepNext w:val="0"/>
              <w:keepLines/>
              <w:ind w:left="170" w:hanging="170"/>
            </w:pPr>
            <w:r>
              <w:rPr>
                <w:b/>
                <w:color w:val="00A676"/>
                <w:sz w:val="16"/>
              </w:rPr>
              <w:t xml:space="preserve">• </w:t>
            </w:r>
            <w:r>
              <w:rPr>
                <w:sz w:val="16"/>
              </w:rPr>
              <w:t>Valeur probante légale des documents (à valider)</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de documents</w:t>
            </w:r>
          </w:p>
          <w:p>
            <w:pPr>
              <w:pStyle w:val="TTGCell"/>
              <w:keepNext w:val="0"/>
              <w:keepLines/>
              <w:ind w:left="170" w:hanging="170"/>
            </w:pPr>
            <w:r>
              <w:rPr>
                <w:b/>
                <w:color w:val="00A676"/>
                <w:sz w:val="16"/>
              </w:rPr>
              <w:t xml:space="preserve">• </w:t>
            </w:r>
            <w:r>
              <w:rPr>
                <w:sz w:val="16"/>
              </w:rPr>
              <w:t>Nombre d’utilisateurs</w:t>
            </w:r>
          </w:p>
          <w:p>
            <w:pPr>
              <w:pStyle w:val="TTGCell"/>
              <w:keepNext w:val="0"/>
              <w:keepLines/>
              <w:ind w:left="170" w:hanging="170"/>
            </w:pPr>
            <w:r>
              <w:rPr>
                <w:b/>
                <w:color w:val="00A676"/>
                <w:sz w:val="16"/>
              </w:rPr>
              <w:t xml:space="preserve">• </w:t>
            </w:r>
            <w:r>
              <w:rPr>
                <w:sz w:val="16"/>
              </w:rPr>
              <w:t>Circuits de validation</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OP01</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Langue supplémentaire du site (intégration, hors traduction)</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120 000 FCFA</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par langue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OP05</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Intégration d’un moyen de paiement (mobile money, carte) via prestataire agréé</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450 000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intégration, hors frais du prestataire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OP06</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Séance de formation supplémentaire d’équipe</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120 000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séance de 2 heures</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OP07</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Documentation utilisateur illustrée (guide PDF)</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150 000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guide</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OP08</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Audit de sécurité de base avant mise en production</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500 000 FCFA</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par application</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OP09</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Hébergement renforcé (ressources dédiées)</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360 000 FCFA</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par an</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tcPr>
          <w:p>
            <w:pPr>
              <w:pStyle w:val="TTGCell"/>
            </w:pPr>
            <w:r>
              <w:rPr>
                <w:b/>
                <w:sz w:val="17"/>
              </w:rPr>
              <w:t>OP11</w:t>
            </w:r>
          </w:p>
        </w:tc>
        <w:tc>
          <w:tcPr>
            <w:tcW w:type="dxa" w:w="4706"/>
            <w:tcMar>
              <w:top w:w="55" w:type="dxa"/>
              <w:left w:w="90" w:type="dxa"/>
              <w:bottom w:w="55" w:type="dxa"/>
              <w:right w:w="90" w:type="dxa"/>
            </w:tcMar>
            <w:tcBorders>
              <w:top w:val="nil"/>
              <w:left w:val="nil"/>
              <w:bottom w:val="single" w:sz="4" w:space="0" w:color="D5DBE2"/>
              <w:right w:val="nil"/>
            </w:tcBorders>
          </w:tcPr>
          <w:p>
            <w:pPr>
              <w:pStyle w:val="TTGCell"/>
            </w:pPr>
            <w:r>
              <w:rPr>
                <w:sz w:val="17"/>
              </w:rPr>
              <w:t>Délai accéléré (urgence, selon faisabilité)</w:t>
            </w:r>
          </w:p>
        </w:tc>
        <w:tc>
          <w:tcPr>
            <w:tcW w:type="dxa" w:w="1928"/>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tcPr>
          <w:p>
            <w:pPr>
              <w:pStyle w:val="TTGCell"/>
            </w:pPr>
            <w:r>
              <w:rPr>
                <w:sz w:val="17"/>
              </w:rPr>
              <w:t>+25 % du montant HT</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OP12</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Déplacement hors Brazzaville</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PL02 (place de marché) : cadre réglementaire de l’intermédiation et du paiement en ligne à vérifier avant tout engagement.</w:t>
      </w:r>
    </w:p>
    <w:p>
      <w:pPr>
        <w:pStyle w:val="ListBullet"/>
      </w:pPr>
      <w:r>
        <w:t>Propriété du code source : cession ou licence d’utilisation à choisir au contrat.</w:t>
      </w:r>
    </w:p>
    <w:p>
      <w:pPr>
        <w:pStyle w:val="ListBullet"/>
      </w:pPr>
      <w:r>
        <w:t>Hébergement et localisation des données : choix à arrêter avec le client (local ou international).</w:t>
      </w:r>
    </w:p>
    <w:p>
      <w:pPr>
        <w:pStyle w:val="ListBullet"/>
      </w:pPr>
      <w:r>
        <w:t>Comptes développeur des boutiques d’applications : au nom du client.</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TTG-GT-02-C01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1 · Développement logiciel et plateformes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Développement logiciel et plateformes</dc:title>
  <dc:subject>Catégorie 1 sur 8 · tarifs indicatifs en FCFA, hors taxes</dc:subject>
  <dc:creator>TechnologyTrade Group</dc:creator>
  <cp:keywords>TTG-GT-02-C01</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