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2</w:t>
            </w:r>
          </w:p>
          <w:p>
            <w:pPr>
              <w:spacing w:after="200" w:line="252" w:lineRule="auto"/>
            </w:pPr>
            <w:r>
              <w:rPr>
                <w:b/>
                <w:color w:val="FFFFFF"/>
                <w:sz w:val="56"/>
              </w:rPr>
              <w:t>Grille tarifaire — Sites web et solutions numériques professionnelles</w:t>
            </w:r>
          </w:p>
          <w:p>
            <w:pPr>
              <w:spacing w:after="0" w:line="288" w:lineRule="auto"/>
            </w:pPr>
            <w:r>
              <w:rPr>
                <w:color w:val="D9EFE7"/>
                <w:sz w:val="24"/>
              </w:rPr>
              <w:t>Catégorie 2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TTG-GT-02-C02</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Sites web et solutions numériques professionnelles », leurs contenus, livrables, tarifs indicatifs, délais et conditions.</w:t>
      </w:r>
    </w:p>
    <w:p>
      <w:r>
        <w:rPr>
          <w:b/>
        </w:rPr>
        <w:t>Public concerné.</w:t>
      </w:r>
      <w:r>
        <w:t xml:space="preserve"> Toute organisation qui souhaite une présence en ligne crédible : entreprises, associations, ONG, institutions, indépendants.</w:t>
      </w:r>
    </w:p>
    <w:p>
      <w:pPr>
        <w:pStyle w:val="Heading2"/>
      </w:pPr>
      <w:r>
        <w:t>Comment choisir</w:t>
      </w:r>
    </w:p>
    <w:p>
      <w:pPr>
        <w:pStyle w:val="ListBullet"/>
      </w:pPr>
      <w:r>
        <w:t xml:space="preserve">Première présence en ligne, contenu simple : </w:t>
      </w:r>
      <w:r>
        <w:rPr>
          <w:b/>
        </w:rPr>
        <w:t>SW01</w:t>
      </w:r>
      <w:r>
        <w:t xml:space="preserve"> (site vitrine essentiel).</w:t>
      </w:r>
    </w:p>
    <w:p>
      <w:pPr>
        <w:pStyle w:val="ListBullet"/>
      </w:pPr>
      <w:r>
        <w:t xml:space="preserve">Image institutionnelle, actualités et documents : </w:t>
      </w:r>
      <w:r>
        <w:rPr>
          <w:b/>
        </w:rPr>
        <w:t>SW02</w:t>
      </w:r>
      <w:r>
        <w:t xml:space="preserve"> (site institutionnel professionnel).</w:t>
      </w:r>
    </w:p>
    <w:p>
      <w:pPr>
        <w:pStyle w:val="ListBullet"/>
      </w:pPr>
      <w:r>
        <w:t xml:space="preserve">Vendre en ligne : </w:t>
      </w:r>
      <w:r>
        <w:rPr>
          <w:b/>
        </w:rPr>
        <w:t>SW03</w:t>
      </w:r>
      <w:r>
        <w:t xml:space="preserve"> (site e-commerce).</w:t>
      </w:r>
    </w:p>
    <w:p>
      <w:pPr>
        <w:pStyle w:val="ListBullet"/>
      </w:pPr>
      <w:r>
        <w:t xml:space="preserve">Campagne ou événement : </w:t>
      </w:r>
      <w:r>
        <w:rPr>
          <w:b/>
        </w:rPr>
        <w:t>SW04</w:t>
      </w:r>
      <w:r>
        <w:t xml:space="preserve"> (page de lancement).</w:t>
      </w:r>
    </w:p>
    <w:p>
      <w:pPr>
        <w:pStyle w:val="ListBullet"/>
      </w:pPr>
      <w:r>
        <w:t xml:space="preserve">Site existant vieillissant : </w:t>
      </w:r>
      <w:r>
        <w:rPr>
          <w:b/>
        </w:rPr>
        <w:t>SW05</w:t>
      </w:r>
      <w:r>
        <w:t xml:space="preserve"> (refonte) ; visibilité : </w:t>
      </w:r>
      <w:r>
        <w:rPr>
          <w:b/>
        </w:rPr>
        <w:t>SW06</w:t>
      </w:r>
      <w:r>
        <w:t xml:space="preserve"> (référencement et performance).</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SW01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Site vitrine essentiel</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525 000 – 1 050 000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SW02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Site institutionnel professionnel</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1 300 000 – 2 550 000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 à 8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SW03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Site e-commerce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2 150 000 – 4 300 000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SW04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Page de lancement / campagne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250 000 – 525 000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 à 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100 % à la commande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SW05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Refonte de site existant</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950 000 – 1 900 000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4 à 7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SW06</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Référencement et performance du site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350 000 – 725 000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2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 (75 / 25 possible)</w:t>
            </w:r>
          </w:p>
        </w:tc>
      </w:tr>
    </w:tbl>
    <w:p>
      <w:pPr>
        <w:spacing w:after="80"/>
      </w:pPr>
    </w:p>
    <w:p>
      <w:pPr>
        <w:spacing w:after="0"/>
      </w:pPr>
      <w:r>
        <w:br w:type="page"/>
      </w:r>
    </w:p>
    <w:p>
      <w:pPr>
        <w:pStyle w:val="Heading1"/>
        <w:pBdr>
          <w:bottom w:val="single" w:sz="6" w:space="4" w:color="00A676"/>
        </w:pBdr>
      </w:pPr>
      <w:r>
        <w:t>3. Fiches détaillées des offres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SW01   </w:t>
            </w:r>
            <w:r>
              <w:rPr>
                <w:b/>
                <w:color w:val="FFFFFF"/>
                <w:sz w:val="20"/>
              </w:rPr>
              <w:t>Site vitrine essentiel</w:t>
            </w:r>
            <w:r>
              <w:rPr>
                <w:b/>
                <w:color w:val="FFFFFF"/>
                <w:sz w:val="19"/>
              </w:rPr>
              <w:tab/>
              <w:t>525 000 – 1 050 000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Site de présentation de 1 à 5 pages, rapide et lisible sur mobile, pour une première présence professionnelle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5 pages (accueil, présentation, services, contact…)</w:t>
            </w:r>
          </w:p>
          <w:p>
            <w:pPr>
              <w:pStyle w:val="TTGCell"/>
              <w:keepNext/>
              <w:keepLines/>
              <w:ind w:left="170" w:hanging="170"/>
            </w:pPr>
            <w:r>
              <w:rPr>
                <w:b/>
                <w:color w:val="00A676"/>
                <w:sz w:val="16"/>
              </w:rPr>
              <w:t xml:space="preserve">• </w:t>
            </w:r>
            <w:r>
              <w:rPr>
                <w:sz w:val="16"/>
              </w:rPr>
              <w:t>Design adapté mobile, tablette et ordinateur</w:t>
            </w:r>
          </w:p>
          <w:p>
            <w:pPr>
              <w:pStyle w:val="TTGCell"/>
              <w:keepNext/>
              <w:keepLines/>
              <w:ind w:left="170" w:hanging="170"/>
            </w:pPr>
            <w:r>
              <w:rPr>
                <w:b/>
                <w:color w:val="00A676"/>
                <w:sz w:val="16"/>
              </w:rPr>
              <w:t xml:space="preserve">• </w:t>
            </w:r>
            <w:r>
              <w:rPr>
                <w:sz w:val="16"/>
              </w:rPr>
              <w:t>Formulaire de contact et liens vers les réseaux sociaux</w:t>
            </w:r>
          </w:p>
          <w:p>
            <w:pPr>
              <w:pStyle w:val="TTGCell"/>
              <w:keepNext/>
              <w:keepLines/>
              <w:ind w:left="170" w:hanging="170"/>
            </w:pPr>
            <w:r>
              <w:rPr>
                <w:b/>
                <w:color w:val="00A676"/>
                <w:sz w:val="16"/>
              </w:rPr>
              <w:t xml:space="preserve">• </w:t>
            </w:r>
            <w:r>
              <w:rPr>
                <w:sz w:val="16"/>
              </w:rPr>
              <w:t>Nom de domaine et hébergement la 1re année</w:t>
            </w:r>
          </w:p>
          <w:p>
            <w:pPr>
              <w:pStyle w:val="TTGCell"/>
              <w:keepNext/>
              <w:keepLines/>
              <w:ind w:left="170" w:hanging="170"/>
            </w:pPr>
            <w:r>
              <w:rPr>
                <w:b/>
                <w:color w:val="00A676"/>
                <w:sz w:val="16"/>
              </w:rPr>
              <w:t xml:space="preserve">• </w:t>
            </w:r>
            <w:r>
              <w:rPr>
                <w:sz w:val="16"/>
              </w:rPr>
              <w:t>Mise en ligne et formation de prise en main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Site en ligne</w:t>
            </w:r>
          </w:p>
          <w:p>
            <w:pPr>
              <w:pStyle w:val="TTGCell"/>
              <w:keepNext/>
              <w:keepLines/>
              <w:ind w:left="170" w:hanging="170"/>
            </w:pPr>
            <w:r>
              <w:rPr>
                <w:b/>
                <w:color w:val="00A676"/>
                <w:sz w:val="16"/>
              </w:rPr>
              <w:t xml:space="preserve">• </w:t>
            </w:r>
            <w:r>
              <w:rPr>
                <w:sz w:val="16"/>
              </w:rPr>
              <w:t>Accès administrateur</w:t>
            </w:r>
          </w:p>
          <w:p>
            <w:pPr>
              <w:pStyle w:val="TTGCell"/>
              <w:keepNext/>
              <w:keepLines/>
              <w:ind w:left="170" w:hanging="170"/>
            </w:pPr>
            <w:r>
              <w:rPr>
                <w:b/>
                <w:color w:val="00A676"/>
                <w:sz w:val="16"/>
              </w:rPr>
              <w:t xml:space="preserve">• </w:t>
            </w:r>
            <w:r>
              <w:rPr>
                <w:sz w:val="16"/>
              </w:rPr>
              <w:t>Guide de prise en main (PDF)</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des textes et photographies</w:t>
            </w:r>
          </w:p>
          <w:p>
            <w:pPr>
              <w:pStyle w:val="TTGCell"/>
              <w:keepNext w:val="0"/>
              <w:keepLines/>
              <w:ind w:left="170" w:hanging="170"/>
            </w:pPr>
            <w:r>
              <w:rPr>
                <w:b/>
                <w:color w:val="00A676"/>
                <w:sz w:val="16"/>
              </w:rPr>
              <w:t xml:space="preserve">• </w:t>
            </w:r>
            <w:r>
              <w:rPr>
                <w:sz w:val="16"/>
              </w:rPr>
              <w:t>Boutique en ligne</w:t>
            </w:r>
          </w:p>
          <w:p>
            <w:pPr>
              <w:pStyle w:val="TTGCell"/>
              <w:keepNext w:val="0"/>
              <w:keepLines/>
              <w:ind w:left="170" w:hanging="170"/>
            </w:pPr>
            <w:r>
              <w:rPr>
                <w:b/>
                <w:color w:val="00A676"/>
                <w:sz w:val="16"/>
              </w:rPr>
              <w:t xml:space="preserve">• </w:t>
            </w:r>
            <w:r>
              <w:rPr>
                <w:sz w:val="16"/>
              </w:rPr>
              <w:t>Référencement avancé</w:t>
            </w:r>
          </w:p>
          <w:p>
            <w:pPr>
              <w:pStyle w:val="TTGCell"/>
              <w:keepNext w:val="0"/>
              <w:keepLines/>
              <w:ind w:left="170" w:hanging="170"/>
            </w:pPr>
            <w:r>
              <w:rPr>
                <w:b/>
                <w:color w:val="00A676"/>
                <w:sz w:val="16"/>
              </w:rPr>
              <w:t xml:space="preserve">• </w:t>
            </w:r>
            <w:r>
              <w:rPr>
                <w:sz w:val="16"/>
              </w:rPr>
              <w:t>Langues supplémentaires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w:t>
            </w:r>
          </w:p>
          <w:p>
            <w:pPr>
              <w:pStyle w:val="TTGCell"/>
              <w:keepNext w:val="0"/>
              <w:keepLines/>
              <w:ind w:left="170" w:hanging="170"/>
            </w:pPr>
            <w:r>
              <w:rPr>
                <w:b/>
                <w:color w:val="00A676"/>
                <w:sz w:val="16"/>
              </w:rPr>
              <w:t xml:space="preserve">• </w:t>
            </w:r>
            <w:r>
              <w:rPr>
                <w:sz w:val="16"/>
              </w:rPr>
              <w:t>Remise des contenus par le client</w:t>
            </w:r>
          </w:p>
          <w:p>
            <w:pPr>
              <w:pStyle w:val="TTGCell"/>
              <w:keepNext w:val="0"/>
              <w:keepLines/>
              <w:ind w:left="170" w:hanging="170"/>
            </w:pPr>
            <w:r>
              <w:rPr>
                <w:b/>
                <w:color w:val="00A676"/>
                <w:sz w:val="16"/>
              </w:rPr>
              <w:t xml:space="preserve">• </w:t>
            </w:r>
            <w:r>
              <w:rPr>
                <w:sz w:val="16"/>
              </w:rPr>
              <w:t>Langues supplémentaires</w:t>
            </w:r>
          </w:p>
          <w:p>
            <w:pPr>
              <w:pStyle w:val="TTGCell"/>
              <w:keepNext w:val="0"/>
              <w:keepLines/>
              <w:ind w:left="170" w:hanging="170"/>
            </w:pPr>
            <w:r>
              <w:rPr>
                <w:b/>
                <w:color w:val="00A676"/>
                <w:sz w:val="16"/>
              </w:rPr>
              <w:t xml:space="preserve">• </w:t>
            </w:r>
            <w:r>
              <w:rPr>
                <w:sz w:val="16"/>
              </w:rPr>
              <w:t>Délai souhaité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SW02   </w:t>
            </w:r>
            <w:r>
              <w:rPr>
                <w:b/>
                <w:color w:val="FFFFFF"/>
                <w:sz w:val="20"/>
              </w:rPr>
              <w:t>Site institutionnel professionnel</w:t>
            </w:r>
            <w:r>
              <w:rPr>
                <w:b/>
                <w:color w:val="FFFFFF"/>
                <w:sz w:val="19"/>
              </w:rPr>
              <w:tab/>
              <w:t>1 300 000 – 2 550 000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Site d’entreprise, d’institution ou d’ONG de 8 à 15 pages avec gestion de contenus autonome, actualités et formulaires.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8 à 15 pages et modèles de pages réutilisables</w:t>
            </w:r>
          </w:p>
          <w:p>
            <w:pPr>
              <w:pStyle w:val="TTGCell"/>
              <w:keepNext/>
              <w:keepLines/>
              <w:ind w:left="170" w:hanging="170"/>
            </w:pPr>
            <w:r>
              <w:rPr>
                <w:b/>
                <w:color w:val="00A676"/>
                <w:sz w:val="16"/>
              </w:rPr>
              <w:t xml:space="preserve">• </w:t>
            </w:r>
            <w:r>
              <w:rPr>
                <w:sz w:val="16"/>
              </w:rPr>
              <w:t>Gestion de contenus par le client (actualités, documents, équipe)</w:t>
            </w:r>
          </w:p>
          <w:p>
            <w:pPr>
              <w:pStyle w:val="TTGCell"/>
              <w:keepNext/>
              <w:keepLines/>
              <w:ind w:left="170" w:hanging="170"/>
            </w:pPr>
            <w:r>
              <w:rPr>
                <w:b/>
                <w:color w:val="00A676"/>
                <w:sz w:val="16"/>
              </w:rPr>
              <w:t xml:space="preserve">• </w:t>
            </w:r>
            <w:r>
              <w:rPr>
                <w:sz w:val="16"/>
              </w:rPr>
              <w:t>Design sur mesure à partir de la charte graphique</w:t>
            </w:r>
          </w:p>
          <w:p>
            <w:pPr>
              <w:pStyle w:val="TTGCell"/>
              <w:keepNext/>
              <w:keepLines/>
              <w:ind w:left="170" w:hanging="170"/>
            </w:pPr>
            <w:r>
              <w:rPr>
                <w:b/>
                <w:color w:val="00A676"/>
                <w:sz w:val="16"/>
              </w:rPr>
              <w:t xml:space="preserve">• </w:t>
            </w:r>
            <w:r>
              <w:rPr>
                <w:sz w:val="16"/>
              </w:rPr>
              <w:t>Formulaires, carte, intégration des réseaux sociaux</w:t>
            </w:r>
          </w:p>
          <w:p>
            <w:pPr>
              <w:pStyle w:val="TTGCell"/>
              <w:keepNext/>
              <w:keepLines/>
              <w:ind w:left="170" w:hanging="170"/>
            </w:pPr>
            <w:r>
              <w:rPr>
                <w:b/>
                <w:color w:val="00A676"/>
                <w:sz w:val="16"/>
              </w:rPr>
              <w:t xml:space="preserve">• </w:t>
            </w:r>
            <w:r>
              <w:rPr>
                <w:sz w:val="16"/>
              </w:rPr>
              <w:t>Optimisation de base pour les moteurs de recherche</w:t>
            </w:r>
          </w:p>
          <w:p>
            <w:pPr>
              <w:pStyle w:val="TTGCell"/>
              <w:keepNext/>
              <w:keepLines/>
              <w:ind w:left="170" w:hanging="170"/>
            </w:pPr>
            <w:r>
              <w:rPr>
                <w:b/>
                <w:color w:val="00A676"/>
                <w:sz w:val="16"/>
              </w:rPr>
              <w:t xml:space="preserve">• </w:t>
            </w:r>
            <w:r>
              <w:rPr>
                <w:sz w:val="16"/>
              </w:rPr>
              <w:t>Formation de l’équipe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Site en ligne</w:t>
            </w:r>
          </w:p>
          <w:p>
            <w:pPr>
              <w:pStyle w:val="TTGCell"/>
              <w:keepNext/>
              <w:keepLines/>
              <w:ind w:left="170" w:hanging="170"/>
            </w:pPr>
            <w:r>
              <w:rPr>
                <w:b/>
                <w:color w:val="00A676"/>
                <w:sz w:val="16"/>
              </w:rPr>
              <w:t xml:space="preserve">• </w:t>
            </w:r>
            <w:r>
              <w:rPr>
                <w:sz w:val="16"/>
              </w:rPr>
              <w:t>Espace d’administration</w:t>
            </w:r>
          </w:p>
          <w:p>
            <w:pPr>
              <w:pStyle w:val="TTGCell"/>
              <w:keepNext/>
              <w:keepLines/>
              <w:ind w:left="170" w:hanging="170"/>
            </w:pPr>
            <w:r>
              <w:rPr>
                <w:b/>
                <w:color w:val="00A676"/>
                <w:sz w:val="16"/>
              </w:rPr>
              <w:t xml:space="preserve">• </w:t>
            </w:r>
            <w:r>
              <w:rPr>
                <w:sz w:val="16"/>
              </w:rPr>
              <w:t>Maquettes validées</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et traduction des contenus</w:t>
            </w:r>
          </w:p>
          <w:p>
            <w:pPr>
              <w:pStyle w:val="TTGCell"/>
              <w:keepNext w:val="0"/>
              <w:keepLines/>
              <w:ind w:left="170" w:hanging="170"/>
            </w:pPr>
            <w:r>
              <w:rPr>
                <w:b/>
                <w:color w:val="00A676"/>
                <w:sz w:val="16"/>
              </w:rPr>
              <w:t xml:space="preserve">• </w:t>
            </w:r>
            <w:r>
              <w:rPr>
                <w:sz w:val="16"/>
              </w:rPr>
              <w:t>Production photo et vidéo</w:t>
            </w:r>
          </w:p>
          <w:p>
            <w:pPr>
              <w:pStyle w:val="TTGCell"/>
              <w:keepNext w:val="0"/>
              <w:keepLines/>
              <w:ind w:left="170" w:hanging="170"/>
            </w:pPr>
            <w:r>
              <w:rPr>
                <w:b/>
                <w:color w:val="00A676"/>
                <w:sz w:val="16"/>
              </w:rPr>
              <w:t xml:space="preserve">• </w:t>
            </w:r>
            <w:r>
              <w:rPr>
                <w:sz w:val="16"/>
              </w:rPr>
              <w:t>Boutique en ligne</w:t>
            </w:r>
          </w:p>
          <w:p>
            <w:pPr>
              <w:pStyle w:val="TTGCell"/>
              <w:keepNext w:val="0"/>
              <w:keepLines/>
              <w:ind w:left="170" w:hanging="170"/>
            </w:pPr>
            <w:r>
              <w:rPr>
                <w:b/>
                <w:color w:val="00A676"/>
                <w:sz w:val="16"/>
              </w:rPr>
              <w:t xml:space="preserve">• </w:t>
            </w:r>
            <w:r>
              <w:rPr>
                <w:sz w:val="16"/>
              </w:rPr>
              <w:t>Fonctionnalités sur mesure complexes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pages et de modèles</w:t>
            </w:r>
          </w:p>
          <w:p>
            <w:pPr>
              <w:pStyle w:val="TTGCell"/>
              <w:keepNext w:val="0"/>
              <w:keepLines/>
              <w:ind w:left="170" w:hanging="170"/>
            </w:pPr>
            <w:r>
              <w:rPr>
                <w:b/>
                <w:color w:val="00A676"/>
                <w:sz w:val="16"/>
              </w:rPr>
              <w:t xml:space="preserve">• </w:t>
            </w:r>
            <w:r>
              <w:rPr>
                <w:sz w:val="16"/>
              </w:rPr>
              <w:t>Nombre de langues</w:t>
            </w:r>
          </w:p>
          <w:p>
            <w:pPr>
              <w:pStyle w:val="TTGCell"/>
              <w:keepNext w:val="0"/>
              <w:keepLines/>
              <w:ind w:left="170" w:hanging="170"/>
            </w:pPr>
            <w:r>
              <w:rPr>
                <w:b/>
                <w:color w:val="00A676"/>
                <w:sz w:val="16"/>
              </w:rPr>
              <w:t xml:space="preserve">• </w:t>
            </w:r>
            <w:r>
              <w:rPr>
                <w:sz w:val="16"/>
              </w:rPr>
              <w:t>Fonctionnalités spécifiques</w:t>
            </w:r>
          </w:p>
          <w:p>
            <w:pPr>
              <w:pStyle w:val="TTGCell"/>
              <w:keepNext w:val="0"/>
              <w:keepLines/>
              <w:ind w:left="170" w:hanging="170"/>
            </w:pPr>
            <w:r>
              <w:rPr>
                <w:b/>
                <w:color w:val="00A676"/>
                <w:sz w:val="16"/>
              </w:rPr>
              <w:t xml:space="preserve">• </w:t>
            </w:r>
            <w:r>
              <w:rPr>
                <w:sz w:val="16"/>
              </w:rPr>
              <w:t>Niveau de personnalisation du design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SW03   </w:t>
            </w:r>
            <w:r>
              <w:rPr>
                <w:b/>
                <w:color w:val="FFFFFF"/>
                <w:sz w:val="20"/>
              </w:rPr>
              <w:t>Site e-commerce</w:t>
            </w:r>
            <w:r>
              <w:rPr>
                <w:b/>
                <w:color w:val="FFFFFF"/>
                <w:sz w:val="19"/>
              </w:rPr>
              <w:tab/>
              <w:t>2 150 000 – 4 300 000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Boutique en ligne avec catalogue, panier, commandes et tableau de bord de gestion des ventes.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Catalogue de produits (jusqu’à 100 références à l’import)</w:t>
            </w:r>
          </w:p>
          <w:p>
            <w:pPr>
              <w:pStyle w:val="TTGCell"/>
              <w:keepNext/>
              <w:keepLines/>
              <w:ind w:left="170" w:hanging="170"/>
            </w:pPr>
            <w:r>
              <w:rPr>
                <w:b/>
                <w:color w:val="00A676"/>
                <w:sz w:val="16"/>
              </w:rPr>
              <w:t xml:space="preserve">• </w:t>
            </w:r>
            <w:r>
              <w:rPr>
                <w:sz w:val="16"/>
              </w:rPr>
              <w:t>Panier, commande et suivi de statut</w:t>
            </w:r>
          </w:p>
          <w:p>
            <w:pPr>
              <w:pStyle w:val="TTGCell"/>
              <w:keepNext/>
              <w:keepLines/>
              <w:ind w:left="170" w:hanging="170"/>
            </w:pPr>
            <w:r>
              <w:rPr>
                <w:b/>
                <w:color w:val="00A676"/>
                <w:sz w:val="16"/>
              </w:rPr>
              <w:t xml:space="preserve">• </w:t>
            </w:r>
            <w:r>
              <w:rPr>
                <w:sz w:val="16"/>
              </w:rPr>
              <w:t>Gestion des stocks et des promotions</w:t>
            </w:r>
          </w:p>
          <w:p>
            <w:pPr>
              <w:pStyle w:val="TTGCell"/>
              <w:keepNext/>
              <w:keepLines/>
              <w:ind w:left="170" w:hanging="170"/>
            </w:pPr>
            <w:r>
              <w:rPr>
                <w:b/>
                <w:color w:val="00A676"/>
                <w:sz w:val="16"/>
              </w:rPr>
              <w:t xml:space="preserve">• </w:t>
            </w:r>
            <w:r>
              <w:rPr>
                <w:sz w:val="16"/>
              </w:rPr>
              <w:t>Paiement à la livraison ou virement ; paiement mobile et carte via prestataire (option)</w:t>
            </w:r>
          </w:p>
          <w:p>
            <w:pPr>
              <w:pStyle w:val="TTGCell"/>
              <w:keepNext/>
              <w:keepLines/>
              <w:ind w:left="170" w:hanging="170"/>
            </w:pPr>
            <w:r>
              <w:rPr>
                <w:b/>
                <w:color w:val="00A676"/>
                <w:sz w:val="16"/>
              </w:rPr>
              <w:t xml:space="preserve">• </w:t>
            </w:r>
            <w:r>
              <w:rPr>
                <w:sz w:val="16"/>
              </w:rPr>
              <w:t>Tableau de bord des ventes</w:t>
            </w:r>
          </w:p>
          <w:p>
            <w:pPr>
              <w:pStyle w:val="TTGCell"/>
              <w:keepNext/>
              <w:keepLines/>
              <w:ind w:left="170" w:hanging="170"/>
            </w:pPr>
            <w:r>
              <w:rPr>
                <w:b/>
                <w:color w:val="00A676"/>
                <w:sz w:val="16"/>
              </w:rPr>
              <w:t xml:space="preserve">• </w:t>
            </w:r>
            <w:r>
              <w:rPr>
                <w:sz w:val="16"/>
              </w:rPr>
              <w:t>Formation de l’équipe (6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Boutique en ligne</w:t>
            </w:r>
          </w:p>
          <w:p>
            <w:pPr>
              <w:pStyle w:val="TTGCell"/>
              <w:keepNext/>
              <w:keepLines/>
              <w:ind w:left="170" w:hanging="170"/>
            </w:pPr>
            <w:r>
              <w:rPr>
                <w:b/>
                <w:color w:val="00A676"/>
                <w:sz w:val="16"/>
              </w:rPr>
              <w:t xml:space="preserve">• </w:t>
            </w:r>
            <w:r>
              <w:rPr>
                <w:sz w:val="16"/>
              </w:rPr>
              <w:t>Espace d’administration</w:t>
            </w:r>
          </w:p>
          <w:p>
            <w:pPr>
              <w:pStyle w:val="TTGCell"/>
              <w:keepNext/>
              <w:keepLines/>
              <w:ind w:left="170" w:hanging="170"/>
            </w:pPr>
            <w:r>
              <w:rPr>
                <w:b/>
                <w:color w:val="00A676"/>
                <w:sz w:val="16"/>
              </w:rPr>
              <w:t xml:space="preserve">• </w:t>
            </w:r>
            <w:r>
              <w:rPr>
                <w:sz w:val="16"/>
              </w:rPr>
              <w:t>Maquettes validées</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Frais du prestataire de paiement</w:t>
            </w:r>
          </w:p>
          <w:p>
            <w:pPr>
              <w:pStyle w:val="TTGCell"/>
              <w:keepNext w:val="0"/>
              <w:keepLines/>
              <w:ind w:left="170" w:hanging="170"/>
            </w:pPr>
            <w:r>
              <w:rPr>
                <w:b/>
                <w:color w:val="00A676"/>
                <w:sz w:val="16"/>
              </w:rPr>
              <w:t xml:space="preserve">• </w:t>
            </w:r>
            <w:r>
              <w:rPr>
                <w:sz w:val="16"/>
              </w:rPr>
              <w:t>Photographie des produits</w:t>
            </w:r>
          </w:p>
          <w:p>
            <w:pPr>
              <w:pStyle w:val="TTGCell"/>
              <w:keepNext w:val="0"/>
              <w:keepLines/>
              <w:ind w:left="170" w:hanging="170"/>
            </w:pPr>
            <w:r>
              <w:rPr>
                <w:b/>
                <w:color w:val="00A676"/>
                <w:sz w:val="16"/>
              </w:rPr>
              <w:t xml:space="preserve">• </w:t>
            </w:r>
            <w:r>
              <w:rPr>
                <w:sz w:val="16"/>
              </w:rPr>
              <w:t>Logistique et livraison</w:t>
            </w:r>
          </w:p>
          <w:p>
            <w:pPr>
              <w:pStyle w:val="TTGCell"/>
              <w:keepNext w:val="0"/>
              <w:keepLines/>
              <w:ind w:left="170" w:hanging="170"/>
            </w:pPr>
            <w:r>
              <w:rPr>
                <w:b/>
                <w:color w:val="00A676"/>
                <w:sz w:val="16"/>
              </w:rPr>
              <w:t xml:space="preserve">• </w:t>
            </w:r>
            <w:r>
              <w:rPr>
                <w:sz w:val="16"/>
              </w:rPr>
              <w:t>Saisie du catalogue complet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produits et de variantes</w:t>
            </w:r>
          </w:p>
          <w:p>
            <w:pPr>
              <w:pStyle w:val="TTGCell"/>
              <w:keepNext w:val="0"/>
              <w:keepLines/>
              <w:ind w:left="170" w:hanging="170"/>
            </w:pPr>
            <w:r>
              <w:rPr>
                <w:b/>
                <w:color w:val="00A676"/>
                <w:sz w:val="16"/>
              </w:rPr>
              <w:t xml:space="preserve">• </w:t>
            </w:r>
            <w:r>
              <w:rPr>
                <w:sz w:val="16"/>
              </w:rPr>
              <w:t>Moyens de paiement</w:t>
            </w:r>
          </w:p>
          <w:p>
            <w:pPr>
              <w:pStyle w:val="TTGCell"/>
              <w:keepNext w:val="0"/>
              <w:keepLines/>
              <w:ind w:left="170" w:hanging="170"/>
            </w:pPr>
            <w:r>
              <w:rPr>
                <w:b/>
                <w:color w:val="00A676"/>
                <w:sz w:val="16"/>
              </w:rPr>
              <w:t xml:space="preserve">• </w:t>
            </w:r>
            <w:r>
              <w:rPr>
                <w:sz w:val="16"/>
              </w:rPr>
              <w:t>Intégrations logistiques</w:t>
            </w:r>
          </w:p>
          <w:p>
            <w:pPr>
              <w:pStyle w:val="TTGCell"/>
              <w:keepNext w:val="0"/>
              <w:keepLines/>
              <w:ind w:left="170" w:hanging="170"/>
            </w:pPr>
            <w:r>
              <w:rPr>
                <w:b/>
                <w:color w:val="00A676"/>
                <w:sz w:val="16"/>
              </w:rPr>
              <w:t xml:space="preserve">• </w:t>
            </w:r>
            <w:r>
              <w:rPr>
                <w:sz w:val="16"/>
              </w:rPr>
              <w:t>Multilingue et multidevise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SW04   </w:t>
            </w:r>
            <w:r>
              <w:rPr>
                <w:b/>
                <w:color w:val="FFFFFF"/>
                <w:sz w:val="20"/>
              </w:rPr>
              <w:t>Page de lancement / campagne</w:t>
            </w:r>
            <w:r>
              <w:rPr>
                <w:b/>
                <w:color w:val="FFFFFF"/>
                <w:sz w:val="19"/>
              </w:rPr>
              <w:tab/>
              <w:t>250 000 – 525 000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Page unique orientée conversion pour un lancement, un événement, une inscription ou une campagne.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Une page complète à fort impact visuel</w:t>
            </w:r>
          </w:p>
          <w:p>
            <w:pPr>
              <w:pStyle w:val="TTGCell"/>
              <w:keepNext/>
              <w:keepLines/>
              <w:ind w:left="170" w:hanging="170"/>
            </w:pPr>
            <w:r>
              <w:rPr>
                <w:b/>
                <w:color w:val="00A676"/>
                <w:sz w:val="16"/>
              </w:rPr>
              <w:t xml:space="preserve">• </w:t>
            </w:r>
            <w:r>
              <w:rPr>
                <w:sz w:val="16"/>
              </w:rPr>
              <w:t>Formulaire d’inscription ou de demande de devis</w:t>
            </w:r>
          </w:p>
          <w:p>
            <w:pPr>
              <w:pStyle w:val="TTGCell"/>
              <w:keepNext/>
              <w:keepLines/>
              <w:ind w:left="170" w:hanging="170"/>
            </w:pPr>
            <w:r>
              <w:rPr>
                <w:b/>
                <w:color w:val="00A676"/>
                <w:sz w:val="16"/>
              </w:rPr>
              <w:t xml:space="preserve">• </w:t>
            </w:r>
            <w:r>
              <w:rPr>
                <w:sz w:val="16"/>
              </w:rPr>
              <w:t>Suivi de base des visites et des demandes</w:t>
            </w:r>
          </w:p>
          <w:p>
            <w:pPr>
              <w:pStyle w:val="TTGCell"/>
              <w:keepNext/>
              <w:keepLines/>
              <w:ind w:left="170" w:hanging="170"/>
            </w:pPr>
            <w:r>
              <w:rPr>
                <w:b/>
                <w:color w:val="00A676"/>
                <w:sz w:val="16"/>
              </w:rPr>
              <w:t xml:space="preserve">• </w:t>
            </w:r>
            <w:r>
              <w:rPr>
                <w:sz w:val="16"/>
              </w:rPr>
              <w:t>Mise en ligne sur un sous-domaine ou domaine existant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Page en ligne</w:t>
            </w:r>
          </w:p>
          <w:p>
            <w:pPr>
              <w:pStyle w:val="TTGCell"/>
              <w:keepNext/>
              <w:keepLines/>
              <w:ind w:left="170" w:hanging="170"/>
            </w:pPr>
            <w:r>
              <w:rPr>
                <w:b/>
                <w:color w:val="00A676"/>
                <w:sz w:val="16"/>
              </w:rPr>
              <w:t xml:space="preserve">• </w:t>
            </w:r>
            <w:r>
              <w:rPr>
                <w:sz w:val="16"/>
              </w:rPr>
              <w:t>Export des demandes reçues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des contenus</w:t>
            </w:r>
          </w:p>
          <w:p>
            <w:pPr>
              <w:pStyle w:val="TTGCell"/>
              <w:keepNext w:val="0"/>
              <w:keepLines/>
              <w:ind w:left="170" w:hanging="170"/>
            </w:pPr>
            <w:r>
              <w:rPr>
                <w:b/>
                <w:color w:val="00A676"/>
                <w:sz w:val="16"/>
              </w:rPr>
              <w:t xml:space="preserve">• </w:t>
            </w:r>
            <w:r>
              <w:rPr>
                <w:sz w:val="16"/>
              </w:rPr>
              <w:t>Publicité en ligne</w:t>
            </w:r>
          </w:p>
          <w:p>
            <w:pPr>
              <w:pStyle w:val="TTGCell"/>
              <w:keepNext w:val="0"/>
              <w:keepLines/>
              <w:ind w:left="170" w:hanging="170"/>
            </w:pPr>
            <w:r>
              <w:rPr>
                <w:b/>
                <w:color w:val="00A676"/>
                <w:sz w:val="16"/>
              </w:rPr>
              <w:t xml:space="preserve">• </w:t>
            </w:r>
            <w:r>
              <w:rPr>
                <w:sz w:val="16"/>
              </w:rPr>
              <w:t>Hébergement (si le client n’en dispose pas)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Fonctionnalités d’inscription</w:t>
            </w:r>
          </w:p>
          <w:p>
            <w:pPr>
              <w:pStyle w:val="TTGCell"/>
              <w:keepNext w:val="0"/>
              <w:keepLines/>
              <w:ind w:left="170" w:hanging="170"/>
            </w:pPr>
            <w:r>
              <w:rPr>
                <w:b/>
                <w:color w:val="00A676"/>
                <w:sz w:val="16"/>
              </w:rPr>
              <w:t xml:space="preserve">• </w:t>
            </w:r>
            <w:r>
              <w:rPr>
                <w:sz w:val="16"/>
              </w:rPr>
              <w:t>Délai souhaité</w:t>
            </w:r>
          </w:p>
          <w:p>
            <w:pPr>
              <w:pStyle w:val="TTGCell"/>
              <w:keepNext w:val="0"/>
              <w:keepLines/>
              <w:ind w:left="170" w:hanging="170"/>
            </w:pPr>
            <w:r>
              <w:rPr>
                <w:b/>
                <w:color w:val="00A676"/>
                <w:sz w:val="16"/>
              </w:rPr>
              <w:t xml:space="preserve">• </w:t>
            </w:r>
            <w:r>
              <w:rPr>
                <w:sz w:val="16"/>
              </w:rPr>
              <w:t>Fourniture des visuels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SW05   </w:t>
            </w:r>
            <w:r>
              <w:rPr>
                <w:b/>
                <w:color w:val="FFFFFF"/>
                <w:sz w:val="20"/>
              </w:rPr>
              <w:t>Refonte de site existant</w:t>
            </w:r>
            <w:r>
              <w:rPr>
                <w:b/>
                <w:color w:val="FFFFFF"/>
                <w:sz w:val="19"/>
              </w:rPr>
              <w:tab/>
              <w:t>950 000 – 1 900 000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Modernisation visuelle et technique d’un site existant, avec reprise des contenus et amélioration de la navigation.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rapide de l’existant</w:t>
            </w:r>
          </w:p>
          <w:p>
            <w:pPr>
              <w:pStyle w:val="TTGCell"/>
              <w:keepNext/>
              <w:keepLines/>
              <w:ind w:left="170" w:hanging="170"/>
            </w:pPr>
            <w:r>
              <w:rPr>
                <w:b/>
                <w:color w:val="00A676"/>
                <w:sz w:val="16"/>
              </w:rPr>
              <w:t xml:space="preserve">• </w:t>
            </w:r>
            <w:r>
              <w:rPr>
                <w:sz w:val="16"/>
              </w:rPr>
              <w:t>Nouvelle conception graphique et nouvelle arborescence</w:t>
            </w:r>
          </w:p>
          <w:p>
            <w:pPr>
              <w:pStyle w:val="TTGCell"/>
              <w:keepNext/>
              <w:keepLines/>
              <w:ind w:left="170" w:hanging="170"/>
            </w:pPr>
            <w:r>
              <w:rPr>
                <w:b/>
                <w:color w:val="00A676"/>
                <w:sz w:val="16"/>
              </w:rPr>
              <w:t xml:space="preserve">• </w:t>
            </w:r>
            <w:r>
              <w:rPr>
                <w:sz w:val="16"/>
              </w:rPr>
              <w:t>Reprise des contenus principaux (jusqu’à 15 pages)</w:t>
            </w:r>
          </w:p>
          <w:p>
            <w:pPr>
              <w:pStyle w:val="TTGCell"/>
              <w:keepNext/>
              <w:keepLines/>
              <w:ind w:left="170" w:hanging="170"/>
            </w:pPr>
            <w:r>
              <w:rPr>
                <w:b/>
                <w:color w:val="00A676"/>
                <w:sz w:val="16"/>
              </w:rPr>
              <w:t xml:space="preserve">• </w:t>
            </w:r>
            <w:r>
              <w:rPr>
                <w:sz w:val="16"/>
              </w:rPr>
              <w:t>Redirections pour préserver le référencement</w:t>
            </w:r>
          </w:p>
          <w:p>
            <w:pPr>
              <w:pStyle w:val="TTGCell"/>
              <w:keepNext/>
              <w:keepLines/>
              <w:ind w:left="170" w:hanging="170"/>
            </w:pPr>
            <w:r>
              <w:rPr>
                <w:b/>
                <w:color w:val="00A676"/>
                <w:sz w:val="16"/>
              </w:rPr>
              <w:t xml:space="preserve">• </w:t>
            </w:r>
            <w:r>
              <w:rPr>
                <w:sz w:val="16"/>
              </w:rPr>
              <w:t>Mise en ligne et formation (3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 synthétique</w:t>
            </w:r>
          </w:p>
          <w:p>
            <w:pPr>
              <w:pStyle w:val="TTGCell"/>
              <w:keepNext/>
              <w:keepLines/>
              <w:ind w:left="170" w:hanging="170"/>
            </w:pPr>
            <w:r>
              <w:rPr>
                <w:b/>
                <w:color w:val="00A676"/>
                <w:sz w:val="16"/>
              </w:rPr>
              <w:t xml:space="preserve">• </w:t>
            </w:r>
            <w:r>
              <w:rPr>
                <w:sz w:val="16"/>
              </w:rPr>
              <w:t>Site refondu en ligne</w:t>
            </w:r>
          </w:p>
          <w:p>
            <w:pPr>
              <w:pStyle w:val="TTGCell"/>
              <w:keepNext/>
              <w:keepLines/>
              <w:ind w:left="170" w:hanging="170"/>
            </w:pPr>
            <w:r>
              <w:rPr>
                <w:b/>
                <w:color w:val="00A676"/>
                <w:sz w:val="16"/>
              </w:rPr>
              <w:t xml:space="preserve">• </w:t>
            </w:r>
            <w:r>
              <w:rPr>
                <w:sz w:val="16"/>
              </w:rPr>
              <w:t>Plan de redirections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 nouveaux contenus</w:t>
            </w:r>
          </w:p>
          <w:p>
            <w:pPr>
              <w:pStyle w:val="TTGCell"/>
              <w:keepNext w:val="0"/>
              <w:keepLines/>
              <w:ind w:left="170" w:hanging="170"/>
            </w:pPr>
            <w:r>
              <w:rPr>
                <w:b/>
                <w:color w:val="00A676"/>
                <w:sz w:val="16"/>
              </w:rPr>
              <w:t xml:space="preserve">• </w:t>
            </w:r>
            <w:r>
              <w:rPr>
                <w:sz w:val="16"/>
              </w:rPr>
              <w:t>Migration de bases de données complexes</w:t>
            </w:r>
          </w:p>
          <w:p>
            <w:pPr>
              <w:pStyle w:val="TTGCell"/>
              <w:keepNext w:val="0"/>
              <w:keepLines/>
              <w:ind w:left="170" w:hanging="170"/>
            </w:pPr>
            <w:r>
              <w:rPr>
                <w:b/>
                <w:color w:val="00A676"/>
                <w:sz w:val="16"/>
              </w:rPr>
              <w:t xml:space="preserve">• </w:t>
            </w:r>
            <w:r>
              <w:rPr>
                <w:sz w:val="16"/>
              </w:rPr>
              <w:t>Fonctionnalités nouvelles non prévues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contenus à reprendre</w:t>
            </w:r>
          </w:p>
          <w:p>
            <w:pPr>
              <w:pStyle w:val="TTGCell"/>
              <w:keepNext w:val="0"/>
              <w:keepLines/>
              <w:ind w:left="170" w:hanging="170"/>
            </w:pPr>
            <w:r>
              <w:rPr>
                <w:b/>
                <w:color w:val="00A676"/>
                <w:sz w:val="16"/>
              </w:rPr>
              <w:t xml:space="preserve">• </w:t>
            </w:r>
            <w:r>
              <w:rPr>
                <w:sz w:val="16"/>
              </w:rPr>
              <w:t>Qualité de l’existant</w:t>
            </w:r>
          </w:p>
          <w:p>
            <w:pPr>
              <w:pStyle w:val="TTGCell"/>
              <w:keepNext w:val="0"/>
              <w:keepLines/>
              <w:ind w:left="170" w:hanging="170"/>
            </w:pPr>
            <w:r>
              <w:rPr>
                <w:b/>
                <w:color w:val="00A676"/>
                <w:sz w:val="16"/>
              </w:rPr>
              <w:t xml:space="preserve">• </w:t>
            </w:r>
            <w:r>
              <w:rPr>
                <w:sz w:val="16"/>
              </w:rPr>
              <w:t>Accès techniques fournis par le client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SW06   </w:t>
            </w:r>
            <w:r>
              <w:rPr>
                <w:b/>
                <w:color w:val="FFFFFF"/>
                <w:sz w:val="20"/>
              </w:rPr>
              <w:t>Référencement et performance du site</w:t>
            </w:r>
            <w:r>
              <w:rPr>
                <w:b/>
                <w:color w:val="FFFFFF"/>
                <w:sz w:val="19"/>
              </w:rPr>
              <w:tab/>
              <w:t>350 000 – 725 000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Optimisation de la vitesse, de la structure et du référencement naturel d’un site existant.</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technique et de contenu</w:t>
            </w:r>
          </w:p>
          <w:p>
            <w:pPr>
              <w:pStyle w:val="TTGCell"/>
              <w:keepNext/>
              <w:keepLines/>
              <w:ind w:left="170" w:hanging="170"/>
            </w:pPr>
            <w:r>
              <w:rPr>
                <w:b/>
                <w:color w:val="00A676"/>
                <w:sz w:val="16"/>
              </w:rPr>
              <w:t xml:space="preserve">• </w:t>
            </w:r>
            <w:r>
              <w:rPr>
                <w:sz w:val="16"/>
              </w:rPr>
              <w:t>Corrections de vitesse et de structure</w:t>
            </w:r>
          </w:p>
          <w:p>
            <w:pPr>
              <w:pStyle w:val="TTGCell"/>
              <w:keepNext/>
              <w:keepLines/>
              <w:ind w:left="170" w:hanging="170"/>
            </w:pPr>
            <w:r>
              <w:rPr>
                <w:b/>
                <w:color w:val="00A676"/>
                <w:sz w:val="16"/>
              </w:rPr>
              <w:t xml:space="preserve">• </w:t>
            </w:r>
            <w:r>
              <w:rPr>
                <w:sz w:val="16"/>
              </w:rPr>
              <w:t>Mots-clés et balisage des pages principales</w:t>
            </w:r>
          </w:p>
          <w:p>
            <w:pPr>
              <w:pStyle w:val="TTGCell"/>
              <w:keepNext/>
              <w:keepLines/>
              <w:ind w:left="170" w:hanging="170"/>
            </w:pPr>
            <w:r>
              <w:rPr>
                <w:b/>
                <w:color w:val="00A676"/>
                <w:sz w:val="16"/>
              </w:rPr>
              <w:t xml:space="preserve">• </w:t>
            </w:r>
            <w:r>
              <w:rPr>
                <w:sz w:val="16"/>
              </w:rPr>
              <w:t>Mise en place du suivi des visites</w:t>
            </w:r>
          </w:p>
          <w:p>
            <w:pPr>
              <w:pStyle w:val="TTGCell"/>
              <w:keepNext/>
              <w:keepLines/>
              <w:ind w:left="170" w:hanging="170"/>
            </w:pPr>
            <w:r>
              <w:rPr>
                <w:b/>
                <w:color w:val="00A676"/>
                <w:sz w:val="16"/>
              </w:rPr>
              <w:t xml:space="preserve">• </w:t>
            </w:r>
            <w:r>
              <w:rPr>
                <w:sz w:val="16"/>
              </w:rPr>
              <w:t>Rapport de résultats à 30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Plan d’action priorisé</w:t>
            </w:r>
          </w:p>
          <w:p>
            <w:pPr>
              <w:pStyle w:val="TTGCell"/>
              <w:keepNext/>
              <w:keepLines/>
              <w:ind w:left="170" w:hanging="170"/>
            </w:pPr>
            <w:r>
              <w:rPr>
                <w:b/>
                <w:color w:val="00A676"/>
                <w:sz w:val="16"/>
              </w:rPr>
              <w:t xml:space="preserve">• </w:t>
            </w:r>
            <w:r>
              <w:rPr>
                <w:sz w:val="16"/>
              </w:rPr>
              <w:t>Corrections appliquées</w:t>
            </w:r>
          </w:p>
          <w:p>
            <w:pPr>
              <w:pStyle w:val="TTGCell"/>
              <w:keepNext/>
              <w:keepLines/>
              <w:ind w:left="170" w:hanging="170"/>
            </w:pPr>
            <w:r>
              <w:rPr>
                <w:b/>
                <w:color w:val="00A676"/>
                <w:sz w:val="16"/>
              </w:rPr>
              <w:t xml:space="preserve">• </w:t>
            </w:r>
            <w:r>
              <w:rPr>
                <w:sz w:val="16"/>
              </w:rPr>
              <w:t>Rapport de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Rédaction de nouveaux contenus</w:t>
            </w:r>
          </w:p>
          <w:p>
            <w:pPr>
              <w:pStyle w:val="TTGCell"/>
              <w:keepNext w:val="0"/>
              <w:keepLines/>
              <w:ind w:left="170" w:hanging="170"/>
            </w:pPr>
            <w:r>
              <w:rPr>
                <w:b/>
                <w:color w:val="00A676"/>
                <w:sz w:val="16"/>
              </w:rPr>
              <w:t xml:space="preserve">• </w:t>
            </w:r>
            <w:r>
              <w:rPr>
                <w:sz w:val="16"/>
              </w:rPr>
              <w:t>Achat de liens et publicité</w:t>
            </w:r>
          </w:p>
          <w:p>
            <w:pPr>
              <w:pStyle w:val="TTGCell"/>
              <w:keepNext w:val="0"/>
              <w:keepLines/>
              <w:ind w:left="170" w:hanging="170"/>
            </w:pPr>
            <w:r>
              <w:rPr>
                <w:b/>
                <w:color w:val="00A676"/>
                <w:sz w:val="16"/>
              </w:rPr>
              <w:t xml:space="preserve">• </w:t>
            </w:r>
            <w:r>
              <w:rPr>
                <w:sz w:val="16"/>
              </w:rPr>
              <w:t>Garantie de position dans les moteurs de recherche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Taille du site</w:t>
            </w:r>
          </w:p>
          <w:p>
            <w:pPr>
              <w:pStyle w:val="TTGCell"/>
              <w:keepNext w:val="0"/>
              <w:keepLines/>
              <w:ind w:left="170" w:hanging="170"/>
            </w:pPr>
            <w:r>
              <w:rPr>
                <w:b/>
                <w:color w:val="00A676"/>
                <w:sz w:val="16"/>
              </w:rPr>
              <w:t xml:space="preserve">• </w:t>
            </w:r>
            <w:r>
              <w:rPr>
                <w:sz w:val="16"/>
              </w:rPr>
              <w:t>État technique existant</w:t>
            </w:r>
          </w:p>
          <w:p>
            <w:pPr>
              <w:pStyle w:val="TTGCell"/>
              <w:keepNext w:val="0"/>
              <w:keepLines/>
              <w:ind w:left="170" w:hanging="170"/>
            </w:pPr>
            <w:r>
              <w:rPr>
                <w:b/>
                <w:color w:val="00A676"/>
                <w:sz w:val="16"/>
              </w:rPr>
              <w:t xml:space="preserve">• </w:t>
            </w:r>
            <w:r>
              <w:rPr>
                <w:sz w:val="16"/>
              </w:rPr>
              <w:t>Concurrence sur les mots-clés</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OP01</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Langue supplémentaire du site (intégration, hors traduction)</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120 000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langue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Page supplémentaire (conception et intégration)</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35 000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page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OP03</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Rédaction professionnelle de contenus</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25 000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OP04</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Traduction français ↔ anglais</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15 000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page de 300 mots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OP05</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Intégration d’un moyen de paiement (mobile money, carte) via prestataire agréé</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450 000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intégration, hors frais du prestataire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OP06</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Séance de formation supplémentaire d’équipe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120 000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séance de 2 heures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OP07</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Documentation utilisateur illustrée (guide PDF)</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150 000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guide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OP08</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Audit de sécurité de base avant mise en production</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500 000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application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OP09</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Hébergement renforcé (ressources dédiées)</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360 000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an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OP11</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Délai accéléré (urgence, selon faisabilité)</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Paiement en ligne : contrat avec un prestataire de paiement agréé à conclure par le client (frais hors prestation).</w:t>
      </w:r>
    </w:p>
    <w:p>
      <w:pPr>
        <w:pStyle w:val="ListBullet"/>
      </w:pPr>
      <w:r>
        <w:t>Nom de domaine et hébergement : titulaire = le client ; modalités de renouvellement à préciser.</w:t>
      </w:r>
    </w:p>
    <w:p>
      <w:pPr>
        <w:pStyle w:val="ListBullet"/>
      </w:pPr>
      <w:r>
        <w:t>Contenus (textes, images) : fournis par le client, ou rédaction en option.</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TTG-GT-02-C02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2 · Sites web et solutions numériques professionnelles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Sites web et solutions numériques professionnelles</dc:title>
  <dc:subject>Catégorie 2 sur 8 · tarifs indicatifs en FCFA, hors taxes</dc:subject>
  <dc:creator>TechnologyTrade Group</dc:creator>
  <cp:keywords>TTG-GT-02-C02</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