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ayout w:type="fixed"/>
        <w:tblLook w:firstColumn="1" w:firstRow="1" w:lastColumn="0" w:lastRow="0" w:noHBand="0" w:noVBand="1" w:val="04A0"/>
        <w:tblLayout w:type="fixed"/>
        <w:tblW w:w="9639" w:type="dxa"/>
      </w:tblPr>
      <w:tblGrid>
        <w:gridCol w:w="9639"/>
      </w:tblGrid>
      <w:tr>
        <w:trPr>
          <w:trHeight w:val="6917" w:hRule="atLeast"/>
        </w:trPr>
        <w:tc>
          <w:tcPr>
            <w:tcW w:type="dxa" w:w="9638"/>
            <w:shd w:val="clear" w:color="auto" w:fill="063D2E"/>
            <w:tcMar>
              <w:top w:w="500" w:type="dxa"/>
              <w:left w:w="600" w:type="dxa"/>
              <w:bottom w:w="400" w:type="dxa"/>
              <w:right w:w="500" w:type="dxa"/>
            </w:tcMar>
            <w:vAlign w:val="top"/>
          </w:tcPr>
          <w:p>
            <w:pPr>
              <w:spacing w:after="1400"/>
            </w:pPr>
            <w:r>
              <w:drawing>
                <wp:inline xmlns:a="http://schemas.openxmlformats.org/drawingml/2006/main" xmlns:pic="http://schemas.openxmlformats.org/drawingml/2006/picture">
                  <wp:extent cx="2185885" cy="684000"/>
                  <wp:docPr id="1" name="Picture 1"/>
                  <wp:cNvGraphicFramePr>
                    <a:graphicFrameLocks noChangeAspect="1"/>
                  </wp:cNvGraphicFramePr>
                  <a:graphic>
                    <a:graphicData uri="http://schemas.openxmlformats.org/drawingml/2006/picture">
                      <pic:pic>
                        <pic:nvPicPr>
                          <pic:cNvPr id="0" name="Logo_horizontal_blanc.png"/>
                          <pic:cNvPicPr/>
                        </pic:nvPicPr>
                        <pic:blipFill>
                          <a:blip r:embed="rId11"/>
                          <a:stretch>
                            <a:fillRect/>
                          </a:stretch>
                        </pic:blipFill>
                        <pic:spPr>
                          <a:xfrm>
                            <a:off x="0" y="0"/>
                            <a:ext cx="2185885" cy="684000"/>
                          </a:xfrm>
                          <a:prstGeom prst="rect"/>
                        </pic:spPr>
                      </pic:pic>
                    </a:graphicData>
                  </a:graphic>
                </wp:inline>
              </w:drawing>
            </w:r>
          </w:p>
          <w:p>
            <w:pPr>
              <w:spacing w:after="200"/>
            </w:pPr>
            <w:r>
              <w:rPr>
                <w:b/>
                <w:color w:val="00A676"/>
                <w:sz w:val="20"/>
                <w:spacing w:val="40"/>
              </w:rPr>
              <w:t>GRILLE TARIFAIRE · CATÉGORIE 3</w:t>
            </w:r>
          </w:p>
          <w:p>
            <w:pPr>
              <w:spacing w:after="200" w:line="252" w:lineRule="auto"/>
            </w:pPr>
            <w:r>
              <w:rPr>
                <w:b/>
                <w:color w:val="FFFFFF"/>
                <w:sz w:val="56"/>
              </w:rPr>
              <w:t>Grille tarifaire — Design graphique et identité visuelle</w:t>
            </w:r>
          </w:p>
          <w:p>
            <w:pPr>
              <w:spacing w:after="0" w:line="288" w:lineRule="auto"/>
            </w:pPr>
            <w:r>
              <w:rPr>
                <w:color w:val="D9EFE7"/>
                <w:sz w:val="24"/>
              </w:rPr>
              <w:t>Catégorie 3 sur 8 · tarifs indicatifs en FCFA, hors taxes</w:t>
            </w:r>
          </w:p>
        </w:tc>
      </w:tr>
    </w:tbl>
    <w:tbl>
      <w:tblPr>
        <w:jc w:val="center"/>
        <w:tblLayout w:type="fixed"/>
        <w:tblLook w:firstColumn="1" w:firstRow="1" w:lastColumn="0" w:lastRow="0" w:noHBand="0" w:noVBand="1" w:val="04A0"/>
        <w:tblLayout w:type="fixed"/>
        <w:tblW w:w="9639" w:type="dxa"/>
      </w:tblPr>
      <w:tblGrid>
        <w:gridCol w:w="9639"/>
      </w:tblGrid>
      <w:tr>
        <w:trPr>
          <w:trHeight w:val="125" w:hRule="exact"/>
        </w:trPr>
        <w:tc>
          <w:tcPr>
            <w:tcW w:type="dxa" w:w="9638"/>
            <w:shd w:val="clear" w:color="auto" w:fill="00A676"/>
          </w:tcPr>
          <w:p>
            <w:pPr>
              <w:spacing w:after="0"/>
            </w:pPr>
            <w:r>
              <w:rPr>
                <w:sz w:val="2"/>
              </w:rPr>
            </w:r>
          </w:p>
        </w:tc>
      </w:tr>
    </w:tbl>
    <w:p>
      <w:pPr>
        <w:spacing w:after="280"/>
      </w:pPr>
    </w:p>
    <w:tbl>
      <w:tblPr>
        <w:jc w:val="center"/>
        <w:tblLayout w:type="fixed"/>
        <w:tblLook w:firstColumn="1" w:firstRow="1" w:lastColumn="0" w:lastRow="0" w:noHBand="0" w:noVBand="1" w:val="04A0"/>
        <w:tblLayout w:type="fixed"/>
        <w:tblW w:w="9639" w:type="dxa"/>
      </w:tblPr>
      <w:tblGrid>
        <w:gridCol w:w="2381"/>
        <w:gridCol w:w="7257"/>
      </w:tblGrid>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RÉFÉRENCE</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TTG-GT-02-C03</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VERSION</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v1.0 — Projet</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DATE</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Octobre 2026</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STATUT</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Projet provisoire — à valider par la direction</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DIFFUSION</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Diffusion contrôlée — prospects, clients et partenaires</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ENTREPRISE</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TechnologyTrade Group — République du Congo (Congo-Brazzaville)</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DIRIGEANT</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Daril Roslain KINGUENGA (mention à vérifier avant tout usage officiel)</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ÉTABLI POUR</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Prospects, clients et partenaires — après validation par la direction</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VALIDATION</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color w:val="8A5A00"/>
                <w:sz w:val="18"/>
                <w:shd w:val="clear" w:color="auto" w:fill="FFF4D6"/>
              </w:rPr>
              <w:t>[À compléter : nom, fonction, date de validation]</w:t>
            </w:r>
          </w:p>
        </w:tc>
      </w:tr>
    </w:tbl>
    <w:p>
      <w:pPr>
        <w:spacing w:before="440"/>
      </w:pPr>
      <w:r>
        <w:rPr>
          <w:i/>
          <w:color w:val="626262"/>
          <w:sz w:val="16"/>
        </w:rPr>
        <w:t>Les éléments juridiques, administratifs, financiers et tarifaires de ce document sont des propositions de travail. Ils sont présentés comme provisoires tant qu'ils n'ont pas été validés par la direction et, le cas échéant, par un professionnel compétent. Les champs surlignés sont à compléter.</w:t>
      </w:r>
    </w:p>
    <w:p>
      <w:pPr>
        <w:spacing w:before="160"/>
      </w:pPr>
      <w:r>
        <w:rPr>
          <w:b/>
          <w:color w:val="0B5A45"/>
          <w:sz w:val="15"/>
          <w:spacing w:val="20"/>
        </w:rPr>
        <w:t>CONNECTING TECHNOLOGY. DRIVING TRADE. BUILDING AFRICA'S FUTURE.</w:t>
      </w:r>
    </w:p>
    <w:p>
      <w:pPr>
        <w:spacing w:after="0"/>
      </w:pPr>
      <w:r>
        <w:br w:type="page"/>
      </w:r>
    </w:p>
    <w:p>
      <w:pPr>
        <w:pStyle w:val="Heading1"/>
        <w:pBdr>
          <w:bottom w:val="single" w:sz="6" w:space="4" w:color="00A676"/>
        </w:pBdr>
      </w:pPr>
      <w:r>
        <w:t>1. Présentation de la catégorie</w:t>
      </w:r>
    </w:p>
    <w:p>
      <w:pPr>
        <w:spacing w:after="160"/>
      </w:pPr>
      <w:r>
        <w:rPr>
          <w:color w:val="063D2E"/>
          <w:sz w:val="22"/>
        </w:rPr>
        <w:t>Cette grille présente les prestations de la catégorie « Design graphique et identité visuelle », leurs contenus, livrables, tarifs indicatifs, délais et conditions.</w:t>
      </w:r>
    </w:p>
    <w:p>
      <w:r>
        <w:rPr>
          <w:b/>
        </w:rPr>
        <w:t>Public concerné.</w:t>
      </w:r>
      <w:r>
        <w:t xml:space="preserve"> Organisations qui créent ou renouvellent leur marque, ou conçoivent un site ou une application dont l’expérience utilisateur doit être soignée.</w:t>
      </w:r>
    </w:p>
    <w:p>
      <w:pPr>
        <w:pStyle w:val="Heading2"/>
      </w:pPr>
      <w:r>
        <w:t>Comment choisir</w:t>
      </w:r>
    </w:p>
    <w:p>
      <w:pPr>
        <w:pStyle w:val="ListBullet"/>
      </w:pPr>
      <w:r>
        <w:t xml:space="preserve">Création de marque : </w:t>
      </w:r>
      <w:r>
        <w:rPr>
          <w:b/>
        </w:rPr>
        <w:t>DG01</w:t>
      </w:r>
      <w:r>
        <w:t xml:space="preserve"> (logo et mini-charte) puis </w:t>
      </w:r>
      <w:r>
        <w:rPr>
          <w:b/>
        </w:rPr>
        <w:t>DG02</w:t>
      </w:r>
      <w:r>
        <w:t xml:space="preserve"> (identité complète) ; </w:t>
      </w:r>
      <w:r>
        <w:rPr>
          <w:b/>
        </w:rPr>
        <w:t>DG05</w:t>
      </w:r>
      <w:r>
        <w:t xml:space="preserve"> pour la papeterie.</w:t>
      </w:r>
    </w:p>
    <w:p>
      <w:pPr>
        <w:pStyle w:val="ListBullet"/>
      </w:pPr>
      <w:r>
        <w:t xml:space="preserve">Produit numérique à concevoir : </w:t>
      </w:r>
      <w:r>
        <w:rPr>
          <w:b/>
        </w:rPr>
        <w:t>UX02</w:t>
      </w:r>
      <w:r>
        <w:t xml:space="preserve"> ; </w:t>
      </w:r>
      <w:r>
        <w:rPr>
          <w:b/>
        </w:rPr>
        <w:t>UX03</w:t>
      </w:r>
      <w:r>
        <w:t xml:space="preserve"> si plusieurs produits doivent rester cohérents ; </w:t>
      </w:r>
      <w:r>
        <w:rPr>
          <w:b/>
        </w:rPr>
        <w:t>UX01</w:t>
      </w:r>
      <w:r>
        <w:t xml:space="preserve"> pour auditer l’existant.</w:t>
      </w:r>
    </w:p>
    <w:p>
      <w:pPr>
        <w:pStyle w:val="ListBullet"/>
      </w:pPr>
      <w:r>
        <w:t xml:space="preserve">Supports ponctuels : </w:t>
      </w:r>
      <w:r>
        <w:rPr>
          <w:b/>
        </w:rPr>
        <w:t>DG03</w:t>
      </w:r>
      <w:r>
        <w:t xml:space="preserve"> (imprimés), </w:t>
      </w:r>
      <w:r>
        <w:rPr>
          <w:b/>
        </w:rPr>
        <w:t>DG04</w:t>
      </w:r>
      <w:r>
        <w:t xml:space="preserve"> (présentation institutionnelle ou pitch).</w:t>
      </w:r>
    </w:p>
    <w:tbl>
      <w:tblPr>
        <w:jc w:val="center"/>
        <w:tblLayout w:type="fixed"/>
        <w:tblLook w:firstColumn="1" w:firstRow="1" w:lastColumn="0" w:lastRow="0" w:noHBand="0" w:noVBand="1" w:val="04A0"/>
        <w:tblLayout w:type="fixed"/>
        <w:tblW w:w="9639" w:type="dxa"/>
      </w:tblPr>
      <w:tblGrid>
        <w:gridCol w:w="9639"/>
      </w:tblGrid>
      <w:tr>
        <w:trPr>
          <w:cantSplit/>
        </w:trPr>
        <w:tc>
          <w:tcPr>
            <w:tcW w:type="dxa" w:w="9638"/>
            <w:shd w:val="clear" w:color="auto" w:fill="FFF4D6"/>
            <w:tcMar>
              <w:top w:w="110" w:type="dxa"/>
              <w:left w:w="180" w:type="dxa"/>
              <w:bottom w:w="110" w:type="dxa"/>
              <w:right w:w="160" w:type="dxa"/>
            </w:tcMar>
            <w:tcBorders>
              <w:top w:val="nil"/>
              <w:left w:val="single" w:sz="24" w:space="0" w:color="D99A00"/>
              <w:bottom w:val="nil"/>
              <w:right w:val="nil"/>
            </w:tcBorders>
          </w:tcPr>
          <w:p>
            <w:pPr>
              <w:pStyle w:val="TTGCell"/>
              <w:spacing w:after="40"/>
            </w:pPr>
            <w:r>
              <w:rPr>
                <w:b/>
                <w:color w:val="8A5A00"/>
                <w:sz w:val="18"/>
              </w:rPr>
              <w:t>Statut des tarifs : provisoire</w:t>
            </w:r>
          </w:p>
          <w:p>
            <w:pPr>
              <w:pStyle w:val="TTGCell"/>
            </w:pPr>
            <w:r>
              <w:rPr>
                <w:sz w:val="18"/>
              </w:rPr>
              <w:t xml:space="preserve">Les prix de cette grille sont des </w:t>
            </w:r>
            <w:r>
              <w:rPr>
                <w:b/>
                <w:sz w:val="18"/>
              </w:rPr>
              <w:t>propositions de travail</w:t>
            </w:r>
            <w:r>
              <w:rPr>
                <w:sz w:val="18"/>
              </w:rPr>
              <w:t xml:space="preserve"> à valider par la direction de TechnologyTrade Group. Ils sont indicatifs, exprimés en FCFA hors taxes, et ne remplacent pas le devis.</w:t>
            </w:r>
          </w:p>
        </w:tc>
      </w:tr>
    </w:tbl>
    <w:p>
      <w:pPr>
        <w:spacing w:after="100"/>
      </w:pPr>
    </w:p>
    <w:p>
      <w:pPr>
        <w:pStyle w:val="Heading1"/>
        <w:pBdr>
          <w:bottom w:val="single" w:sz="6" w:space="4" w:color="00A676"/>
        </w:pBdr>
      </w:pPr>
      <w:r>
        <w:t>2. Vue d’ensemble</w:t>
      </w:r>
    </w:p>
    <w:tbl>
      <w:tblPr>
        <w:jc w:val="center"/>
        <w:tblLayout w:type="fixed"/>
        <w:tblLook w:firstColumn="1" w:firstRow="1" w:lastColumn="0" w:lastRow="0" w:noHBand="0" w:noVBand="1" w:val="04A0"/>
        <w:tblLayout w:type="fixed"/>
        <w:tblW w:w="9639" w:type="dxa"/>
      </w:tblPr>
      <w:tblGrid>
        <w:gridCol w:w="741"/>
        <w:gridCol w:w="3283"/>
        <w:gridCol w:w="2330"/>
        <w:gridCol w:w="1588"/>
        <w:gridCol w:w="1694"/>
      </w:tblGrid>
      <w:tr>
        <w:trPr>
          <w:tblHeader w:val="true"/>
          <w:cantSplit/>
        </w:trPr>
        <w:tc>
          <w:tcPr>
            <w:tcW w:type="dxa" w:w="741"/>
            <w:shd w:val="clear" w:color="auto" w:fill="0B5A45"/>
            <w:tcMar>
              <w:top w:w="70" w:type="dxa"/>
              <w:left w:w="90" w:type="dxa"/>
              <w:bottom w:w="70" w:type="dxa"/>
              <w:right w:w="90" w:type="dxa"/>
            </w:tcMar>
            <w:vAlign w:val="center"/>
          </w:tcPr>
          <w:p>
            <w:pPr>
              <w:pStyle w:val="TTGCell"/>
            </w:pPr>
            <w:r>
              <w:rPr>
                <w:b/>
                <w:color w:val="FFFFFF"/>
                <w:sz w:val="17"/>
              </w:rPr>
              <w:t>Code</w:t>
            </w:r>
          </w:p>
        </w:tc>
        <w:tc>
          <w:tcPr>
            <w:tcW w:type="dxa" w:w="3283"/>
            <w:shd w:val="clear" w:color="auto" w:fill="0B5A45"/>
            <w:tcMar>
              <w:top w:w="70" w:type="dxa"/>
              <w:left w:w="90" w:type="dxa"/>
              <w:bottom w:w="70" w:type="dxa"/>
              <w:right w:w="90" w:type="dxa"/>
            </w:tcMar>
            <w:vAlign w:val="center"/>
          </w:tcPr>
          <w:p>
            <w:pPr>
              <w:pStyle w:val="TTGCell"/>
            </w:pPr>
            <w:r>
              <w:rPr>
                <w:b/>
                <w:color w:val="FFFFFF"/>
                <w:sz w:val="17"/>
              </w:rPr>
              <w:t>Prestation</w:t>
            </w:r>
          </w:p>
        </w:tc>
        <w:tc>
          <w:tcPr>
            <w:tcW w:type="dxa" w:w="2330"/>
            <w:shd w:val="clear" w:color="auto" w:fill="0B5A45"/>
            <w:tcMar>
              <w:top w:w="70" w:type="dxa"/>
              <w:left w:w="90" w:type="dxa"/>
              <w:bottom w:w="70" w:type="dxa"/>
              <w:right w:w="90" w:type="dxa"/>
            </w:tcMar>
            <w:vAlign w:val="center"/>
          </w:tcPr>
          <w:p>
            <w:pPr>
              <w:pStyle w:val="TTGCell"/>
              <w:jc w:val="right"/>
            </w:pPr>
            <w:r>
              <w:rPr>
                <w:b/>
                <w:color w:val="FFFFFF"/>
                <w:sz w:val="17"/>
              </w:rPr>
              <w:t>Prix indicatif HT</w:t>
            </w:r>
          </w:p>
        </w:tc>
        <w:tc>
          <w:tcPr>
            <w:tcW w:type="dxa" w:w="1589"/>
            <w:shd w:val="clear" w:color="auto" w:fill="0B5A45"/>
            <w:tcMar>
              <w:top w:w="70" w:type="dxa"/>
              <w:left w:w="90" w:type="dxa"/>
              <w:bottom w:w="70" w:type="dxa"/>
              <w:right w:w="90" w:type="dxa"/>
            </w:tcMar>
            <w:vAlign w:val="center"/>
          </w:tcPr>
          <w:p>
            <w:pPr>
              <w:pStyle w:val="TTGCell"/>
            </w:pPr>
            <w:r>
              <w:rPr>
                <w:b/>
                <w:color w:val="FFFFFF"/>
                <w:sz w:val="17"/>
              </w:rPr>
              <w:t>Délai indicatif</w:t>
            </w:r>
          </w:p>
        </w:tc>
        <w:tc>
          <w:tcPr>
            <w:tcW w:type="dxa" w:w="1695"/>
            <w:shd w:val="clear" w:color="auto" w:fill="0B5A45"/>
            <w:tcMar>
              <w:top w:w="70" w:type="dxa"/>
              <w:left w:w="90" w:type="dxa"/>
              <w:bottom w:w="70" w:type="dxa"/>
              <w:right w:w="90" w:type="dxa"/>
            </w:tcMar>
            <w:vAlign w:val="center"/>
          </w:tcPr>
          <w:p>
            <w:pPr>
              <w:pStyle w:val="TTGCell"/>
            </w:pPr>
            <w:r>
              <w:rPr>
                <w:b/>
                <w:color w:val="FFFFFF"/>
                <w:sz w:val="17"/>
              </w:rPr>
              <w:t>Paiement</w:t>
            </w:r>
          </w:p>
        </w:tc>
      </w:tr>
      <w:tr>
        <w:trPr>
          <w:cantSplit/>
        </w:trPr>
        <w:tc>
          <w:tcPr>
            <w:tcW w:type="dxa" w:w="741"/>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b/>
                <w:sz w:val="17"/>
              </w:rPr>
              <w:t>UX01</w:t>
            </w:r>
          </w:p>
        </w:tc>
        <w:tc>
          <w:tcPr>
            <w:tcW w:type="dxa" w:w="3283"/>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Audit UX et recommandations</w:t>
            </w:r>
          </w:p>
        </w:tc>
        <w:tc>
          <w:tcPr>
            <w:tcW w:type="dxa" w:w="2330"/>
            <w:tcMar>
              <w:top w:w="55" w:type="dxa"/>
              <w:left w:w="90" w:type="dxa"/>
              <w:bottom w:w="55" w:type="dxa"/>
              <w:right w:w="90" w:type="dxa"/>
            </w:tcMar>
            <w:tcBorders>
              <w:top w:val="single" w:sz="4" w:space="0" w:color="D5DBE2"/>
              <w:left w:val="nil"/>
              <w:bottom w:val="single" w:sz="4" w:space="0" w:color="D5DBE2"/>
              <w:right w:val="nil"/>
            </w:tcBorders>
          </w:tcPr>
          <w:p>
            <w:pPr>
              <w:pStyle w:val="TTGCell"/>
              <w:jc w:val="right"/>
            </w:pPr>
            <w:r>
              <w:rPr>
                <w:sz w:val="17"/>
              </w:rPr>
              <w:t>425 000 – 850 000 FCFA</w:t>
            </w:r>
          </w:p>
        </w:tc>
        <w:tc>
          <w:tcPr>
            <w:tcW w:type="dxa" w:w="1589"/>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2 à 3 semaines</w:t>
            </w:r>
          </w:p>
        </w:tc>
        <w:tc>
          <w:tcPr>
            <w:tcW w:type="dxa" w:w="1695"/>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50 % / 50 % (75 / 25 possible)</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UX02</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Conception UI/UX d’un site ou d’une application</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925 000 – 1 850 000 FCFA</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3 à 6 semaines</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40 % / 30 % / 30 %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tcPr>
          <w:p>
            <w:pPr>
              <w:pStyle w:val="TTGCell"/>
            </w:pPr>
            <w:r>
              <w:rPr>
                <w:b/>
                <w:sz w:val="17"/>
              </w:rPr>
              <w:t>UX03</w:t>
            </w:r>
          </w:p>
        </w:tc>
        <w:tc>
          <w:tcPr>
            <w:tcW w:type="dxa" w:w="3283"/>
            <w:tcMar>
              <w:top w:w="55" w:type="dxa"/>
              <w:left w:w="90" w:type="dxa"/>
              <w:bottom w:w="55" w:type="dxa"/>
              <w:right w:w="90" w:type="dxa"/>
            </w:tcMar>
            <w:tcBorders>
              <w:top w:val="nil"/>
              <w:left w:val="nil"/>
              <w:bottom w:val="single" w:sz="4" w:space="0" w:color="D5DBE2"/>
              <w:right w:val="nil"/>
            </w:tcBorders>
          </w:tcPr>
          <w:p>
            <w:pPr>
              <w:pStyle w:val="TTGCell"/>
            </w:pPr>
            <w:r>
              <w:rPr>
                <w:sz w:val="17"/>
              </w:rPr>
              <w:t>Système de design et charte d’interface</w:t>
            </w:r>
          </w:p>
        </w:tc>
        <w:tc>
          <w:tcPr>
            <w:tcW w:type="dxa" w:w="2330"/>
            <w:tcMar>
              <w:top w:w="55" w:type="dxa"/>
              <w:left w:w="90" w:type="dxa"/>
              <w:bottom w:w="55" w:type="dxa"/>
              <w:right w:w="90" w:type="dxa"/>
            </w:tcMar>
            <w:tcBorders>
              <w:top w:val="nil"/>
              <w:left w:val="nil"/>
              <w:bottom w:val="single" w:sz="4" w:space="0" w:color="D5DBE2"/>
              <w:right w:val="nil"/>
            </w:tcBorders>
          </w:tcPr>
          <w:p>
            <w:pPr>
              <w:pStyle w:val="TTGCell"/>
              <w:jc w:val="right"/>
            </w:pPr>
            <w:r>
              <w:rPr>
                <w:sz w:val="17"/>
              </w:rPr>
              <w:t>700 000 – 1 400 000 FCFA</w:t>
            </w:r>
          </w:p>
        </w:tc>
        <w:tc>
          <w:tcPr>
            <w:tcW w:type="dxa" w:w="1589"/>
            <w:tcMar>
              <w:top w:w="55" w:type="dxa"/>
              <w:left w:w="90" w:type="dxa"/>
              <w:bottom w:w="55" w:type="dxa"/>
              <w:right w:w="90" w:type="dxa"/>
            </w:tcMar>
            <w:tcBorders>
              <w:top w:val="nil"/>
              <w:left w:val="nil"/>
              <w:bottom w:val="single" w:sz="4" w:space="0" w:color="D5DBE2"/>
              <w:right w:val="nil"/>
            </w:tcBorders>
          </w:tcPr>
          <w:p>
            <w:pPr>
              <w:pStyle w:val="TTGCell"/>
            </w:pPr>
            <w:r>
              <w:rPr>
                <w:sz w:val="17"/>
              </w:rPr>
              <w:t>3 à 5 semaines</w:t>
            </w:r>
          </w:p>
        </w:tc>
        <w:tc>
          <w:tcPr>
            <w:tcW w:type="dxa" w:w="1695"/>
            <w:tcMar>
              <w:top w:w="55" w:type="dxa"/>
              <w:left w:w="90" w:type="dxa"/>
              <w:bottom w:w="55" w:type="dxa"/>
              <w:right w:w="90" w:type="dxa"/>
            </w:tcMar>
            <w:tcBorders>
              <w:top w:val="nil"/>
              <w:left w:val="nil"/>
              <w:bottom w:val="single" w:sz="4" w:space="0" w:color="D5DBE2"/>
              <w:right w:val="nil"/>
            </w:tcBorders>
          </w:tcPr>
          <w:p>
            <w:pPr>
              <w:pStyle w:val="TTGCell"/>
            </w:pPr>
            <w:r>
              <w:rPr>
                <w:sz w:val="17"/>
              </w:rPr>
              <w:t>40 % / 30 % / 30 %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DG01</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Logo et mini-charte</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350 000 – 675 000 FCFA</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2 à 3 semaines</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50 % / 50 % (75 / 25 possible)</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tcPr>
          <w:p>
            <w:pPr>
              <w:pStyle w:val="TTGCell"/>
            </w:pPr>
            <w:r>
              <w:rPr>
                <w:b/>
                <w:sz w:val="17"/>
              </w:rPr>
              <w:t>DG02</w:t>
            </w:r>
          </w:p>
        </w:tc>
        <w:tc>
          <w:tcPr>
            <w:tcW w:type="dxa" w:w="3283"/>
            <w:tcMar>
              <w:top w:w="55" w:type="dxa"/>
              <w:left w:w="90" w:type="dxa"/>
              <w:bottom w:w="55" w:type="dxa"/>
              <w:right w:w="90" w:type="dxa"/>
            </w:tcMar>
            <w:tcBorders>
              <w:top w:val="nil"/>
              <w:left w:val="nil"/>
              <w:bottom w:val="single" w:sz="4" w:space="0" w:color="D5DBE2"/>
              <w:right w:val="nil"/>
            </w:tcBorders>
          </w:tcPr>
          <w:p>
            <w:pPr>
              <w:pStyle w:val="TTGCell"/>
            </w:pPr>
            <w:r>
              <w:rPr>
                <w:sz w:val="17"/>
              </w:rPr>
              <w:t>Identité visuelle complète</w:t>
            </w:r>
          </w:p>
        </w:tc>
        <w:tc>
          <w:tcPr>
            <w:tcW w:type="dxa" w:w="2330"/>
            <w:tcMar>
              <w:top w:w="55" w:type="dxa"/>
              <w:left w:w="90" w:type="dxa"/>
              <w:bottom w:w="55" w:type="dxa"/>
              <w:right w:w="90" w:type="dxa"/>
            </w:tcMar>
            <w:tcBorders>
              <w:top w:val="nil"/>
              <w:left w:val="nil"/>
              <w:bottom w:val="single" w:sz="4" w:space="0" w:color="D5DBE2"/>
              <w:right w:val="nil"/>
            </w:tcBorders>
          </w:tcPr>
          <w:p>
            <w:pPr>
              <w:pStyle w:val="TTGCell"/>
              <w:jc w:val="right"/>
            </w:pPr>
            <w:r>
              <w:rPr>
                <w:sz w:val="17"/>
              </w:rPr>
              <w:t>1 000 000 – 2 000 000 FCFA</w:t>
            </w:r>
          </w:p>
        </w:tc>
        <w:tc>
          <w:tcPr>
            <w:tcW w:type="dxa" w:w="1589"/>
            <w:tcMar>
              <w:top w:w="55" w:type="dxa"/>
              <w:left w:w="90" w:type="dxa"/>
              <w:bottom w:w="55" w:type="dxa"/>
              <w:right w:w="90" w:type="dxa"/>
            </w:tcMar>
            <w:tcBorders>
              <w:top w:val="nil"/>
              <w:left w:val="nil"/>
              <w:bottom w:val="single" w:sz="4" w:space="0" w:color="D5DBE2"/>
              <w:right w:val="nil"/>
            </w:tcBorders>
          </w:tcPr>
          <w:p>
            <w:pPr>
              <w:pStyle w:val="TTGCell"/>
            </w:pPr>
            <w:r>
              <w:rPr>
                <w:sz w:val="17"/>
              </w:rPr>
              <w:t>4 à 7 semaines</w:t>
            </w:r>
          </w:p>
        </w:tc>
        <w:tc>
          <w:tcPr>
            <w:tcW w:type="dxa" w:w="1695"/>
            <w:tcMar>
              <w:top w:w="55" w:type="dxa"/>
              <w:left w:w="90" w:type="dxa"/>
              <w:bottom w:w="55" w:type="dxa"/>
              <w:right w:w="90" w:type="dxa"/>
            </w:tcMar>
            <w:tcBorders>
              <w:top w:val="nil"/>
              <w:left w:val="nil"/>
              <w:bottom w:val="single" w:sz="4" w:space="0" w:color="D5DBE2"/>
              <w:right w:val="nil"/>
            </w:tcBorders>
          </w:tcPr>
          <w:p>
            <w:pPr>
              <w:pStyle w:val="TTGCell"/>
            </w:pPr>
            <w:r>
              <w:rPr>
                <w:sz w:val="17"/>
              </w:rPr>
              <w:t>40 % / 30 % / 30 %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DG03</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Supports de communication imprimés</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200 000 – 400 000 FCFA</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1 à 2 semaines</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100 % à la commande</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tcPr>
          <w:p>
            <w:pPr>
              <w:pStyle w:val="TTGCell"/>
            </w:pPr>
            <w:r>
              <w:rPr>
                <w:b/>
                <w:sz w:val="17"/>
              </w:rPr>
              <w:t>DG04</w:t>
            </w:r>
          </w:p>
        </w:tc>
        <w:tc>
          <w:tcPr>
            <w:tcW w:type="dxa" w:w="3283"/>
            <w:tcMar>
              <w:top w:w="55" w:type="dxa"/>
              <w:left w:w="90" w:type="dxa"/>
              <w:bottom w:w="55" w:type="dxa"/>
              <w:right w:w="90" w:type="dxa"/>
            </w:tcMar>
            <w:tcBorders>
              <w:top w:val="nil"/>
              <w:left w:val="nil"/>
              <w:bottom w:val="single" w:sz="4" w:space="0" w:color="D5DBE2"/>
              <w:right w:val="nil"/>
            </w:tcBorders>
          </w:tcPr>
          <w:p>
            <w:pPr>
              <w:pStyle w:val="TTGCell"/>
            </w:pPr>
            <w:r>
              <w:rPr>
                <w:sz w:val="17"/>
              </w:rPr>
              <w:t>Présentation institutionnelle ou pitch</w:t>
            </w:r>
          </w:p>
        </w:tc>
        <w:tc>
          <w:tcPr>
            <w:tcW w:type="dxa" w:w="2330"/>
            <w:tcMar>
              <w:top w:w="55" w:type="dxa"/>
              <w:left w:w="90" w:type="dxa"/>
              <w:bottom w:w="55" w:type="dxa"/>
              <w:right w:w="90" w:type="dxa"/>
            </w:tcMar>
            <w:tcBorders>
              <w:top w:val="nil"/>
              <w:left w:val="nil"/>
              <w:bottom w:val="single" w:sz="4" w:space="0" w:color="D5DBE2"/>
              <w:right w:val="nil"/>
            </w:tcBorders>
          </w:tcPr>
          <w:p>
            <w:pPr>
              <w:pStyle w:val="TTGCell"/>
              <w:jc w:val="right"/>
            </w:pPr>
            <w:r>
              <w:rPr>
                <w:sz w:val="17"/>
              </w:rPr>
              <w:t>375 000 – 750 000 FCFA</w:t>
            </w:r>
          </w:p>
        </w:tc>
        <w:tc>
          <w:tcPr>
            <w:tcW w:type="dxa" w:w="1589"/>
            <w:tcMar>
              <w:top w:w="55" w:type="dxa"/>
              <w:left w:w="90" w:type="dxa"/>
              <w:bottom w:w="55" w:type="dxa"/>
              <w:right w:w="90" w:type="dxa"/>
            </w:tcMar>
            <w:tcBorders>
              <w:top w:val="nil"/>
              <w:left w:val="nil"/>
              <w:bottom w:val="single" w:sz="4" w:space="0" w:color="D5DBE2"/>
              <w:right w:val="nil"/>
            </w:tcBorders>
          </w:tcPr>
          <w:p>
            <w:pPr>
              <w:pStyle w:val="TTGCell"/>
            </w:pPr>
            <w:r>
              <w:rPr>
                <w:sz w:val="17"/>
              </w:rPr>
              <w:t>1 à 2 semaines</w:t>
            </w:r>
          </w:p>
        </w:tc>
        <w:tc>
          <w:tcPr>
            <w:tcW w:type="dxa" w:w="1695"/>
            <w:tcMar>
              <w:top w:w="55" w:type="dxa"/>
              <w:left w:w="90" w:type="dxa"/>
              <w:bottom w:w="55" w:type="dxa"/>
              <w:right w:w="90" w:type="dxa"/>
            </w:tcMar>
            <w:tcBorders>
              <w:top w:val="nil"/>
              <w:left w:val="nil"/>
              <w:bottom w:val="single" w:sz="4" w:space="0" w:color="D5DBE2"/>
              <w:right w:val="nil"/>
            </w:tcBorders>
          </w:tcPr>
          <w:p>
            <w:pPr>
              <w:pStyle w:val="TTGCell"/>
            </w:pPr>
            <w:r>
              <w:rPr>
                <w:sz w:val="17"/>
              </w:rPr>
              <w:t>50 % / 50 % (75 / 25 possible)</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DG05</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Pack papeterie et signatures</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150 000 – 325 000 FCFA</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1 à 2 semaines</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100 % à la commande</w:t>
            </w:r>
          </w:p>
        </w:tc>
      </w:tr>
    </w:tbl>
    <w:p>
      <w:pPr>
        <w:spacing w:after="80"/>
      </w:pPr>
    </w:p>
    <w:p>
      <w:pPr>
        <w:spacing w:after="0"/>
      </w:pPr>
      <w:r>
        <w:br w:type="page"/>
      </w:r>
    </w:p>
    <w:p>
      <w:pPr>
        <w:pStyle w:val="Heading1"/>
        <w:pBdr>
          <w:bottom w:val="single" w:sz="6" w:space="4" w:color="00A676"/>
        </w:pBdr>
      </w:pPr>
      <w:r>
        <w:t>3. Fiches détaillées des offres</w:t>
      </w:r>
    </w:p>
    <w:p>
      <w:pPr>
        <w:pStyle w:val="Heading2"/>
      </w:pPr>
      <w:r>
        <w:t>Conception UI/UX</w:t>
      </w:r>
    </w:p>
    <w:p>
      <w:pPr>
        <w:keepNext/>
        <w:spacing w:after="120"/>
      </w:pPr>
      <w:r>
        <w:rPr>
          <w:color w:val="626262"/>
          <w:sz w:val="18"/>
        </w:rPr>
        <w:t>Audit UX, conception d’interfaces, systèmes de design.</w:t>
      </w: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UX01   </w:t>
            </w:r>
            <w:r>
              <w:rPr>
                <w:b/>
                <w:color w:val="FFFFFF"/>
                <w:sz w:val="20"/>
              </w:rPr>
              <w:t>Audit UX et recommandations</w:t>
            </w:r>
            <w:r>
              <w:rPr>
                <w:b/>
                <w:color w:val="FFFFFF"/>
                <w:sz w:val="19"/>
              </w:rPr>
              <w:tab/>
              <w:t>425 000 – 850 000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Évaluation de l’expérience utilisateur d’un site ou d’une application, avec plan d’amélioration priorisé.</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Analyse de 5 parcours clés</w:t>
            </w:r>
          </w:p>
          <w:p>
            <w:pPr>
              <w:pStyle w:val="TTGCell"/>
              <w:keepNext/>
              <w:keepLines/>
              <w:ind w:left="170" w:hanging="170"/>
            </w:pPr>
            <w:r>
              <w:rPr>
                <w:b/>
                <w:color w:val="00A676"/>
                <w:sz w:val="16"/>
              </w:rPr>
              <w:t xml:space="preserve">• </w:t>
            </w:r>
            <w:r>
              <w:rPr>
                <w:sz w:val="16"/>
              </w:rPr>
              <w:t>Revue heuristique et accessibilité de base</w:t>
            </w:r>
          </w:p>
          <w:p>
            <w:pPr>
              <w:pStyle w:val="TTGCell"/>
              <w:keepNext/>
              <w:keepLines/>
              <w:ind w:left="170" w:hanging="170"/>
            </w:pPr>
            <w:r>
              <w:rPr>
                <w:b/>
                <w:color w:val="00A676"/>
                <w:sz w:val="16"/>
              </w:rPr>
              <w:t xml:space="preserve">• </w:t>
            </w:r>
            <w:r>
              <w:rPr>
                <w:sz w:val="16"/>
              </w:rPr>
              <w:t>Entretiens ou tests avec jusqu’à 5 utilisateurs</w:t>
            </w:r>
          </w:p>
          <w:p>
            <w:pPr>
              <w:pStyle w:val="TTGCell"/>
              <w:keepNext/>
              <w:keepLines/>
              <w:ind w:left="170" w:hanging="170"/>
            </w:pPr>
            <w:r>
              <w:rPr>
                <w:b/>
                <w:color w:val="00A676"/>
                <w:sz w:val="16"/>
              </w:rPr>
              <w:t xml:space="preserve">• </w:t>
            </w:r>
            <w:r>
              <w:rPr>
                <w:sz w:val="16"/>
              </w:rPr>
              <w:t>Recommandations priorisées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Rapport d’audit</w:t>
            </w:r>
          </w:p>
          <w:p>
            <w:pPr>
              <w:pStyle w:val="TTGCell"/>
              <w:keepNext/>
              <w:keepLines/>
              <w:ind w:left="170" w:hanging="170"/>
            </w:pPr>
            <w:r>
              <w:rPr>
                <w:b/>
                <w:color w:val="00A676"/>
                <w:sz w:val="16"/>
              </w:rPr>
              <w:t xml:space="preserve">• </w:t>
            </w:r>
            <w:r>
              <w:rPr>
                <w:sz w:val="16"/>
              </w:rPr>
              <w:t>Plan d’amélioration</w:t>
            </w:r>
          </w:p>
          <w:p>
            <w:pPr>
              <w:pStyle w:val="TTGCell"/>
              <w:keepNext/>
              <w:keepLines/>
              <w:ind w:left="170" w:hanging="170"/>
            </w:pPr>
            <w:r>
              <w:rPr>
                <w:b/>
                <w:color w:val="00A676"/>
                <w:sz w:val="16"/>
              </w:rPr>
              <w:t xml:space="preserve">• </w:t>
            </w:r>
            <w:r>
              <w:rPr>
                <w:sz w:val="16"/>
              </w:rPr>
              <w:t>Maquettes de principe des correctifs majeurs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2 à 3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50 % à la commande, 50 % à la livraison. Variante 75 % / 25 % possible pour un projet court, sur accord écrit des parties.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Mise en œuvre des recommandations</w:t>
            </w:r>
          </w:p>
          <w:p>
            <w:pPr>
              <w:pStyle w:val="TTGCell"/>
              <w:keepNext w:val="0"/>
              <w:keepLines/>
              <w:ind w:left="170" w:hanging="170"/>
            </w:pPr>
            <w:r>
              <w:rPr>
                <w:b/>
                <w:color w:val="00A676"/>
                <w:sz w:val="16"/>
              </w:rPr>
              <w:t xml:space="preserve">• </w:t>
            </w:r>
            <w:r>
              <w:rPr>
                <w:sz w:val="16"/>
              </w:rPr>
              <w:t>Tests à grande échelle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Taille du produit</w:t>
            </w:r>
          </w:p>
          <w:p>
            <w:pPr>
              <w:pStyle w:val="TTGCell"/>
              <w:keepNext w:val="0"/>
              <w:keepLines/>
              <w:ind w:left="170" w:hanging="170"/>
            </w:pPr>
            <w:r>
              <w:rPr>
                <w:b/>
                <w:color w:val="00A676"/>
                <w:sz w:val="16"/>
              </w:rPr>
              <w:t xml:space="preserve">• </w:t>
            </w:r>
            <w:r>
              <w:rPr>
                <w:sz w:val="16"/>
              </w:rPr>
              <w:t>Nombre de parcours</w:t>
            </w:r>
          </w:p>
          <w:p>
            <w:pPr>
              <w:pStyle w:val="TTGCell"/>
              <w:keepNext w:val="0"/>
              <w:keepLines/>
              <w:ind w:left="170" w:hanging="170"/>
            </w:pPr>
            <w:r>
              <w:rPr>
                <w:b/>
                <w:color w:val="00A676"/>
                <w:sz w:val="16"/>
              </w:rPr>
              <w:t xml:space="preserve">• </w:t>
            </w:r>
            <w:r>
              <w:rPr>
                <w:sz w:val="16"/>
              </w:rPr>
              <w:t>Recrutement des utilisateurs de test</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UX02   </w:t>
            </w:r>
            <w:r>
              <w:rPr>
                <w:b/>
                <w:color w:val="FFFFFF"/>
                <w:sz w:val="20"/>
              </w:rPr>
              <w:t>Conception UI/UX d’un site ou d’une application</w:t>
            </w:r>
            <w:r>
              <w:rPr>
                <w:b/>
                <w:color w:val="FFFFFF"/>
                <w:sz w:val="19"/>
              </w:rPr>
              <w:tab/>
              <w:t>925 000 – 1 850 000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Conception de l’expérience et de l’interface : parcours, maquettes haute fidélité et prototype cliquable.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Cadrage des utilisateurs et des parcours</w:t>
            </w:r>
          </w:p>
          <w:p>
            <w:pPr>
              <w:pStyle w:val="TTGCell"/>
              <w:keepNext/>
              <w:keepLines/>
              <w:ind w:left="170" w:hanging="170"/>
            </w:pPr>
            <w:r>
              <w:rPr>
                <w:b/>
                <w:color w:val="00A676"/>
                <w:sz w:val="16"/>
              </w:rPr>
              <w:t xml:space="preserve">• </w:t>
            </w:r>
            <w:r>
              <w:rPr>
                <w:sz w:val="16"/>
              </w:rPr>
              <w:t>Arborescence et maquettes basse puis haute fidélité (jusqu’à 20 écrans)</w:t>
            </w:r>
          </w:p>
          <w:p>
            <w:pPr>
              <w:pStyle w:val="TTGCell"/>
              <w:keepNext/>
              <w:keepLines/>
              <w:ind w:left="170" w:hanging="170"/>
            </w:pPr>
            <w:r>
              <w:rPr>
                <w:b/>
                <w:color w:val="00A676"/>
                <w:sz w:val="16"/>
              </w:rPr>
              <w:t xml:space="preserve">• </w:t>
            </w:r>
            <w:r>
              <w:rPr>
                <w:sz w:val="16"/>
              </w:rPr>
              <w:t>Prototype cliquable</w:t>
            </w:r>
          </w:p>
          <w:p>
            <w:pPr>
              <w:pStyle w:val="TTGCell"/>
              <w:keepNext/>
              <w:keepLines/>
              <w:ind w:left="170" w:hanging="170"/>
            </w:pPr>
            <w:r>
              <w:rPr>
                <w:b/>
                <w:color w:val="00A676"/>
                <w:sz w:val="16"/>
              </w:rPr>
              <w:t xml:space="preserve">• </w:t>
            </w:r>
            <w:r>
              <w:rPr>
                <w:sz w:val="16"/>
              </w:rPr>
              <w:t>Deux cycles de corrections</w:t>
            </w:r>
          </w:p>
          <w:p>
            <w:pPr>
              <w:pStyle w:val="TTGCell"/>
              <w:keepNext/>
              <w:keepLines/>
              <w:ind w:left="170" w:hanging="170"/>
            </w:pPr>
            <w:r>
              <w:rPr>
                <w:b/>
                <w:color w:val="00A676"/>
                <w:sz w:val="16"/>
              </w:rPr>
              <w:t xml:space="preserve">• </w:t>
            </w:r>
            <w:r>
              <w:rPr>
                <w:sz w:val="16"/>
              </w:rPr>
              <w:t>Remise de fichiers sources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Maquettes haute fidélité</w:t>
            </w:r>
          </w:p>
          <w:p>
            <w:pPr>
              <w:pStyle w:val="TTGCell"/>
              <w:keepNext/>
              <w:keepLines/>
              <w:ind w:left="170" w:hanging="170"/>
            </w:pPr>
            <w:r>
              <w:rPr>
                <w:b/>
                <w:color w:val="00A676"/>
                <w:sz w:val="16"/>
              </w:rPr>
              <w:t xml:space="preserve">• </w:t>
            </w:r>
            <w:r>
              <w:rPr>
                <w:sz w:val="16"/>
              </w:rPr>
              <w:t>Prototype cliquable</w:t>
            </w:r>
          </w:p>
          <w:p>
            <w:pPr>
              <w:pStyle w:val="TTGCell"/>
              <w:keepNext/>
              <w:keepLines/>
              <w:ind w:left="170" w:hanging="170"/>
            </w:pPr>
            <w:r>
              <w:rPr>
                <w:b/>
                <w:color w:val="00A676"/>
                <w:sz w:val="16"/>
              </w:rPr>
              <w:t xml:space="preserve">• </w:t>
            </w:r>
            <w:r>
              <w:rPr>
                <w:sz w:val="16"/>
              </w:rPr>
              <w:t>Fichiers sources</w:t>
            </w:r>
          </w:p>
          <w:p>
            <w:pPr>
              <w:pStyle w:val="TTGCell"/>
              <w:keepNext/>
              <w:keepLines/>
              <w:ind w:left="170" w:hanging="170"/>
            </w:pPr>
            <w:r>
              <w:rPr>
                <w:b/>
                <w:color w:val="00A676"/>
                <w:sz w:val="16"/>
              </w:rPr>
              <w:t xml:space="preserve">• </w:t>
            </w:r>
            <w:r>
              <w:rPr>
                <w:sz w:val="16"/>
              </w:rPr>
              <w:t>Guide de style des écrans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3 à 6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Développement</w:t>
            </w:r>
          </w:p>
          <w:p>
            <w:pPr>
              <w:pStyle w:val="TTGCell"/>
              <w:keepNext w:val="0"/>
              <w:keepLines/>
              <w:ind w:left="170" w:hanging="170"/>
            </w:pPr>
            <w:r>
              <w:rPr>
                <w:b/>
                <w:color w:val="00A676"/>
                <w:sz w:val="16"/>
              </w:rPr>
              <w:t xml:space="preserve">• </w:t>
            </w:r>
            <w:r>
              <w:rPr>
                <w:sz w:val="16"/>
              </w:rPr>
              <w:t>Rédaction des contenus</w:t>
            </w:r>
          </w:p>
          <w:p>
            <w:pPr>
              <w:pStyle w:val="TTGCell"/>
              <w:keepNext w:val="0"/>
              <w:keepLines/>
              <w:ind w:left="170" w:hanging="170"/>
            </w:pPr>
            <w:r>
              <w:rPr>
                <w:b/>
                <w:color w:val="00A676"/>
                <w:sz w:val="16"/>
              </w:rPr>
              <w:t xml:space="preserve">• </w:t>
            </w:r>
            <w:r>
              <w:rPr>
                <w:sz w:val="16"/>
              </w:rPr>
              <w:t>Illustrations spécifiques sur mesure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d’écrans</w:t>
            </w:r>
          </w:p>
          <w:p>
            <w:pPr>
              <w:pStyle w:val="TTGCell"/>
              <w:keepNext w:val="0"/>
              <w:keepLines/>
              <w:ind w:left="170" w:hanging="170"/>
            </w:pPr>
            <w:r>
              <w:rPr>
                <w:b/>
                <w:color w:val="00A676"/>
                <w:sz w:val="16"/>
              </w:rPr>
              <w:t xml:space="preserve">• </w:t>
            </w:r>
            <w:r>
              <w:rPr>
                <w:sz w:val="16"/>
              </w:rPr>
              <w:t>Nombre d’interfaces (web, mobile)</w:t>
            </w:r>
          </w:p>
          <w:p>
            <w:pPr>
              <w:pStyle w:val="TTGCell"/>
              <w:keepNext w:val="0"/>
              <w:keepLines/>
              <w:ind w:left="170" w:hanging="170"/>
            </w:pPr>
            <w:r>
              <w:rPr>
                <w:b/>
                <w:color w:val="00A676"/>
                <w:sz w:val="16"/>
              </w:rPr>
              <w:t xml:space="preserve">• </w:t>
            </w:r>
            <w:r>
              <w:rPr>
                <w:sz w:val="16"/>
              </w:rPr>
              <w:t>Cycles de corrections supplémentaires</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UX03   </w:t>
            </w:r>
            <w:r>
              <w:rPr>
                <w:b/>
                <w:color w:val="FFFFFF"/>
                <w:sz w:val="20"/>
              </w:rPr>
              <w:t>Système de design et charte d’interface</w:t>
            </w:r>
            <w:r>
              <w:rPr>
                <w:b/>
                <w:color w:val="FFFFFF"/>
                <w:sz w:val="19"/>
              </w:rPr>
              <w:tab/>
              <w:t>700 000 – 1 400 000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Bibliothèque de composants et règles d’interface garantissant la cohérence des produits numériques.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Couleurs, typographie, grille, composants (boutons, formulaires, tableaux…)</w:t>
            </w:r>
          </w:p>
          <w:p>
            <w:pPr>
              <w:pStyle w:val="TTGCell"/>
              <w:keepNext/>
              <w:keepLines/>
              <w:ind w:left="170" w:hanging="170"/>
            </w:pPr>
            <w:r>
              <w:rPr>
                <w:b/>
                <w:color w:val="00A676"/>
                <w:sz w:val="16"/>
              </w:rPr>
              <w:t xml:space="preserve">• </w:t>
            </w:r>
            <w:r>
              <w:rPr>
                <w:sz w:val="16"/>
              </w:rPr>
              <w:t>États et variantes des composants</w:t>
            </w:r>
          </w:p>
          <w:p>
            <w:pPr>
              <w:pStyle w:val="TTGCell"/>
              <w:keepNext/>
              <w:keepLines/>
              <w:ind w:left="170" w:hanging="170"/>
            </w:pPr>
            <w:r>
              <w:rPr>
                <w:b/>
                <w:color w:val="00A676"/>
                <w:sz w:val="16"/>
              </w:rPr>
              <w:t xml:space="preserve">• </w:t>
            </w:r>
            <w:r>
              <w:rPr>
                <w:sz w:val="16"/>
              </w:rPr>
              <w:t>Règles d’usage et d’accessibilité</w:t>
            </w:r>
          </w:p>
          <w:p>
            <w:pPr>
              <w:pStyle w:val="TTGCell"/>
              <w:keepNext/>
              <w:keepLines/>
              <w:ind w:left="170" w:hanging="170"/>
            </w:pPr>
            <w:r>
              <w:rPr>
                <w:b/>
                <w:color w:val="00A676"/>
                <w:sz w:val="16"/>
              </w:rPr>
              <w:t xml:space="preserve">• </w:t>
            </w:r>
            <w:r>
              <w:rPr>
                <w:sz w:val="16"/>
              </w:rPr>
              <w:t>Livraison en fichier de conception réutilisable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Système de design (fichier source)</w:t>
            </w:r>
          </w:p>
          <w:p>
            <w:pPr>
              <w:pStyle w:val="TTGCell"/>
              <w:keepNext/>
              <w:keepLines/>
              <w:ind w:left="170" w:hanging="170"/>
            </w:pPr>
            <w:r>
              <w:rPr>
                <w:b/>
                <w:color w:val="00A676"/>
                <w:sz w:val="16"/>
              </w:rPr>
              <w:t xml:space="preserve">• </w:t>
            </w:r>
            <w:r>
              <w:rPr>
                <w:sz w:val="16"/>
              </w:rPr>
              <w:t>Guide d’usage (PDF)</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3 à 5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Développement des composants</w:t>
            </w:r>
          </w:p>
          <w:p>
            <w:pPr>
              <w:pStyle w:val="TTGCell"/>
              <w:keepNext w:val="0"/>
              <w:keepLines/>
              <w:ind w:left="170" w:hanging="170"/>
            </w:pPr>
            <w:r>
              <w:rPr>
                <w:b/>
                <w:color w:val="00A676"/>
                <w:sz w:val="16"/>
              </w:rPr>
              <w:t xml:space="preserve">• </w:t>
            </w:r>
            <w:r>
              <w:rPr>
                <w:sz w:val="16"/>
              </w:rPr>
              <w:t>Refonte de l’identité visuelle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composants</w:t>
            </w:r>
          </w:p>
          <w:p>
            <w:pPr>
              <w:pStyle w:val="TTGCell"/>
              <w:keepNext w:val="0"/>
              <w:keepLines/>
              <w:ind w:left="170" w:hanging="170"/>
            </w:pPr>
            <w:r>
              <w:rPr>
                <w:b/>
                <w:color w:val="00A676"/>
                <w:sz w:val="16"/>
              </w:rPr>
              <w:t xml:space="preserve">• </w:t>
            </w:r>
            <w:r>
              <w:rPr>
                <w:sz w:val="16"/>
              </w:rPr>
              <w:t>Nombre de produits à couvrir</w:t>
            </w:r>
          </w:p>
          <w:p>
            <w:pPr>
              <w:pStyle w:val="TTGCell"/>
              <w:keepNext w:val="0"/>
              <w:keepLines/>
              <w:ind w:left="170" w:hanging="170"/>
            </w:pPr>
            <w:r>
              <w:rPr>
                <w:b/>
                <w:color w:val="00A676"/>
                <w:sz w:val="16"/>
              </w:rPr>
              <w:t xml:space="preserve">• </w:t>
            </w:r>
            <w:r>
              <w:rPr>
                <w:sz w:val="16"/>
              </w:rPr>
              <w:t>Existence d’une charte graphique</w:t>
            </w:r>
          </w:p>
        </w:tc>
      </w:tr>
    </w:tbl>
    <w:p>
      <w:pPr>
        <w:spacing w:after="140"/>
      </w:pPr>
    </w:p>
    <w:p>
      <w:pPr>
        <w:pStyle w:val="Heading2"/>
      </w:pPr>
      <w:r>
        <w:t>Identité visuelle et design graphique</w:t>
      </w:r>
    </w:p>
    <w:p>
      <w:pPr>
        <w:keepNext/>
        <w:spacing w:after="120"/>
      </w:pPr>
      <w:r>
        <w:rPr>
          <w:color w:val="626262"/>
          <w:sz w:val="18"/>
        </w:rPr>
        <w:t>Logo, identité visuelle, supports imprimés, présentations, papeterie.</w:t>
      </w: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DG01   </w:t>
            </w:r>
            <w:r>
              <w:rPr>
                <w:b/>
                <w:color w:val="FFFFFF"/>
                <w:sz w:val="20"/>
              </w:rPr>
              <w:t>Logo et mini-charte</w:t>
            </w:r>
            <w:r>
              <w:rPr>
                <w:b/>
                <w:color w:val="FFFFFF"/>
                <w:sz w:val="19"/>
              </w:rPr>
              <w:tab/>
              <w:t>350 000 – 675 000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Création d’un logo professionnel avec ses déclinaisons essentielles et des règles d’usage simples.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Brief et recherche de pistes (3 pistes)</w:t>
            </w:r>
          </w:p>
          <w:p>
            <w:pPr>
              <w:pStyle w:val="TTGCell"/>
              <w:keepNext/>
              <w:keepLines/>
              <w:ind w:left="170" w:hanging="170"/>
            </w:pPr>
            <w:r>
              <w:rPr>
                <w:b/>
                <w:color w:val="00A676"/>
                <w:sz w:val="16"/>
              </w:rPr>
              <w:t xml:space="preserve">• </w:t>
            </w:r>
            <w:r>
              <w:rPr>
                <w:sz w:val="16"/>
              </w:rPr>
              <w:t>Une piste développée avec 2 cycles de corrections</w:t>
            </w:r>
          </w:p>
          <w:p>
            <w:pPr>
              <w:pStyle w:val="TTGCell"/>
              <w:keepNext/>
              <w:keepLines/>
              <w:ind w:left="170" w:hanging="170"/>
            </w:pPr>
            <w:r>
              <w:rPr>
                <w:b/>
                <w:color w:val="00A676"/>
                <w:sz w:val="16"/>
              </w:rPr>
              <w:t xml:space="preserve">• </w:t>
            </w:r>
            <w:r>
              <w:rPr>
                <w:sz w:val="16"/>
              </w:rPr>
              <w:t>Déclinaisons couleur, noir et blanc, fond clair et foncé</w:t>
            </w:r>
          </w:p>
          <w:p>
            <w:pPr>
              <w:pStyle w:val="TTGCell"/>
              <w:keepNext/>
              <w:keepLines/>
              <w:ind w:left="170" w:hanging="170"/>
            </w:pPr>
            <w:r>
              <w:rPr>
                <w:b/>
                <w:color w:val="00A676"/>
                <w:sz w:val="16"/>
              </w:rPr>
              <w:t xml:space="preserve">• </w:t>
            </w:r>
            <w:r>
              <w:rPr>
                <w:sz w:val="16"/>
              </w:rPr>
              <w:t>Mini-charte de 4 pages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Fichiers du logo (vectoriel et images)</w:t>
            </w:r>
          </w:p>
          <w:p>
            <w:pPr>
              <w:pStyle w:val="TTGCell"/>
              <w:keepNext/>
              <w:keepLines/>
              <w:ind w:left="170" w:hanging="170"/>
            </w:pPr>
            <w:r>
              <w:rPr>
                <w:b/>
                <w:color w:val="00A676"/>
                <w:sz w:val="16"/>
              </w:rPr>
              <w:t xml:space="preserve">• </w:t>
            </w:r>
            <w:r>
              <w:rPr>
                <w:sz w:val="16"/>
              </w:rPr>
              <w:t>Mini-charte (PDF)</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2 à 3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50 % à la commande, 50 % à la livraison. Variante 75 % / 25 % possible pour un projet court, sur accord écrit des parties.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Dépôt de marque</w:t>
            </w:r>
          </w:p>
          <w:p>
            <w:pPr>
              <w:pStyle w:val="TTGCell"/>
              <w:keepNext w:val="0"/>
              <w:keepLines/>
              <w:ind w:left="170" w:hanging="170"/>
            </w:pPr>
            <w:r>
              <w:rPr>
                <w:b/>
                <w:color w:val="00A676"/>
                <w:sz w:val="16"/>
              </w:rPr>
              <w:t xml:space="preserve">• </w:t>
            </w:r>
            <w:r>
              <w:rPr>
                <w:sz w:val="16"/>
              </w:rPr>
              <w:t>Papeterie et supports</w:t>
            </w:r>
          </w:p>
          <w:p>
            <w:pPr>
              <w:pStyle w:val="TTGCell"/>
              <w:keepNext w:val="0"/>
              <w:keepLines/>
              <w:ind w:left="170" w:hanging="170"/>
            </w:pPr>
            <w:r>
              <w:rPr>
                <w:b/>
                <w:color w:val="00A676"/>
                <w:sz w:val="16"/>
              </w:rPr>
              <w:t xml:space="preserve">• </w:t>
            </w:r>
            <w:r>
              <w:rPr>
                <w:sz w:val="16"/>
              </w:rPr>
              <w:t>Cycles de corrections supplémentaires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pistes</w:t>
            </w:r>
          </w:p>
          <w:p>
            <w:pPr>
              <w:pStyle w:val="TTGCell"/>
              <w:keepNext w:val="0"/>
              <w:keepLines/>
              <w:ind w:left="170" w:hanging="170"/>
            </w:pPr>
            <w:r>
              <w:rPr>
                <w:b/>
                <w:color w:val="00A676"/>
                <w:sz w:val="16"/>
              </w:rPr>
              <w:t xml:space="preserve">• </w:t>
            </w:r>
            <w:r>
              <w:rPr>
                <w:sz w:val="16"/>
              </w:rPr>
              <w:t>Cycles de corrections</w:t>
            </w:r>
          </w:p>
          <w:p>
            <w:pPr>
              <w:pStyle w:val="TTGCell"/>
              <w:keepNext w:val="0"/>
              <w:keepLines/>
              <w:ind w:left="170" w:hanging="170"/>
            </w:pPr>
            <w:r>
              <w:rPr>
                <w:b/>
                <w:color w:val="00A676"/>
                <w:sz w:val="16"/>
              </w:rPr>
              <w:t xml:space="preserve">• </w:t>
            </w:r>
            <w:r>
              <w:rPr>
                <w:sz w:val="16"/>
              </w:rPr>
              <w:t>Déclinaisons demandées</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DG02   </w:t>
            </w:r>
            <w:r>
              <w:rPr>
                <w:b/>
                <w:color w:val="FFFFFF"/>
                <w:sz w:val="20"/>
              </w:rPr>
              <w:t>Identité visuelle complète</w:t>
            </w:r>
            <w:r>
              <w:rPr>
                <w:b/>
                <w:color w:val="FFFFFF"/>
                <w:sz w:val="19"/>
              </w:rPr>
              <w:tab/>
              <w:t>1 000 000 – 2 000 000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Identité de marque complète : logo, couleurs, typographie, charte graphique et premiers supports.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Atelier de cadrage et analyse du positionnement</w:t>
            </w:r>
          </w:p>
          <w:p>
            <w:pPr>
              <w:pStyle w:val="TTGCell"/>
              <w:keepNext/>
              <w:keepLines/>
              <w:ind w:left="170" w:hanging="170"/>
            </w:pPr>
            <w:r>
              <w:rPr>
                <w:b/>
                <w:color w:val="00A676"/>
                <w:sz w:val="16"/>
              </w:rPr>
              <w:t xml:space="preserve">• </w:t>
            </w:r>
            <w:r>
              <w:rPr>
                <w:sz w:val="16"/>
              </w:rPr>
              <w:t>Logo et déclinaisons</w:t>
            </w:r>
          </w:p>
          <w:p>
            <w:pPr>
              <w:pStyle w:val="TTGCell"/>
              <w:keepNext/>
              <w:keepLines/>
              <w:ind w:left="170" w:hanging="170"/>
            </w:pPr>
            <w:r>
              <w:rPr>
                <w:b/>
                <w:color w:val="00A676"/>
                <w:sz w:val="16"/>
              </w:rPr>
              <w:t xml:space="preserve">• </w:t>
            </w:r>
            <w:r>
              <w:rPr>
                <w:sz w:val="16"/>
              </w:rPr>
              <w:t>Palette, typographie et règles d’usage</w:t>
            </w:r>
          </w:p>
          <w:p>
            <w:pPr>
              <w:pStyle w:val="TTGCell"/>
              <w:keepNext/>
              <w:keepLines/>
              <w:ind w:left="170" w:hanging="170"/>
            </w:pPr>
            <w:r>
              <w:rPr>
                <w:b/>
                <w:color w:val="00A676"/>
                <w:sz w:val="16"/>
              </w:rPr>
              <w:t xml:space="preserve">• </w:t>
            </w:r>
            <w:r>
              <w:rPr>
                <w:sz w:val="16"/>
              </w:rPr>
              <w:t>Charte graphique d’une vingtaine de pages</w:t>
            </w:r>
          </w:p>
          <w:p>
            <w:pPr>
              <w:pStyle w:val="TTGCell"/>
              <w:keepNext/>
              <w:keepLines/>
              <w:ind w:left="170" w:hanging="170"/>
            </w:pPr>
            <w:r>
              <w:rPr>
                <w:b/>
                <w:color w:val="00A676"/>
                <w:sz w:val="16"/>
              </w:rPr>
              <w:t xml:space="preserve">• </w:t>
            </w:r>
            <w:r>
              <w:rPr>
                <w:sz w:val="16"/>
              </w:rPr>
              <w:t>Papeterie de base (carte, en-tête, signature)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Kit de marque (fichiers sources et exports)</w:t>
            </w:r>
          </w:p>
          <w:p>
            <w:pPr>
              <w:pStyle w:val="TTGCell"/>
              <w:keepNext/>
              <w:keepLines/>
              <w:ind w:left="170" w:hanging="170"/>
            </w:pPr>
            <w:r>
              <w:rPr>
                <w:b/>
                <w:color w:val="00A676"/>
                <w:sz w:val="16"/>
              </w:rPr>
              <w:t xml:space="preserve">• </w:t>
            </w:r>
            <w:r>
              <w:rPr>
                <w:sz w:val="16"/>
              </w:rPr>
              <w:t>Charte graphique (PDF)</w:t>
            </w:r>
          </w:p>
          <w:p>
            <w:pPr>
              <w:pStyle w:val="TTGCell"/>
              <w:keepNext/>
              <w:keepLines/>
              <w:ind w:left="170" w:hanging="170"/>
            </w:pPr>
            <w:r>
              <w:rPr>
                <w:b/>
                <w:color w:val="00A676"/>
                <w:sz w:val="16"/>
              </w:rPr>
              <w:t xml:space="preserve">• </w:t>
            </w:r>
            <w:r>
              <w:rPr>
                <w:sz w:val="16"/>
              </w:rPr>
              <w:t>Modèles de papeterie modifiables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4 à 7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Dépôt de marque</w:t>
            </w:r>
          </w:p>
          <w:p>
            <w:pPr>
              <w:pStyle w:val="TTGCell"/>
              <w:keepNext w:val="0"/>
              <w:keepLines/>
              <w:ind w:left="170" w:hanging="170"/>
            </w:pPr>
            <w:r>
              <w:rPr>
                <w:b/>
                <w:color w:val="00A676"/>
                <w:sz w:val="16"/>
              </w:rPr>
              <w:t xml:space="preserve">• </w:t>
            </w:r>
            <w:r>
              <w:rPr>
                <w:sz w:val="16"/>
              </w:rPr>
              <w:t>Site web et applications</w:t>
            </w:r>
          </w:p>
          <w:p>
            <w:pPr>
              <w:pStyle w:val="TTGCell"/>
              <w:keepNext w:val="0"/>
              <w:keepLines/>
              <w:ind w:left="170" w:hanging="170"/>
            </w:pPr>
            <w:r>
              <w:rPr>
                <w:b/>
                <w:color w:val="00A676"/>
                <w:sz w:val="16"/>
              </w:rPr>
              <w:t xml:space="preserve">• </w:t>
            </w:r>
            <w:r>
              <w:rPr>
                <w:sz w:val="16"/>
              </w:rPr>
              <w:t>Impressions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supports</w:t>
            </w:r>
          </w:p>
          <w:p>
            <w:pPr>
              <w:pStyle w:val="TTGCell"/>
              <w:keepNext w:val="0"/>
              <w:keepLines/>
              <w:ind w:left="170" w:hanging="170"/>
            </w:pPr>
            <w:r>
              <w:rPr>
                <w:b/>
                <w:color w:val="00A676"/>
                <w:sz w:val="16"/>
              </w:rPr>
              <w:t xml:space="preserve">• </w:t>
            </w:r>
            <w:r>
              <w:rPr>
                <w:sz w:val="16"/>
              </w:rPr>
              <w:t>Cycles de corrections</w:t>
            </w:r>
          </w:p>
          <w:p>
            <w:pPr>
              <w:pStyle w:val="TTGCell"/>
              <w:keepNext w:val="0"/>
              <w:keepLines/>
              <w:ind w:left="170" w:hanging="170"/>
            </w:pPr>
            <w:r>
              <w:rPr>
                <w:b/>
                <w:color w:val="00A676"/>
                <w:sz w:val="16"/>
              </w:rPr>
              <w:t xml:space="preserve">• </w:t>
            </w:r>
            <w:r>
              <w:rPr>
                <w:sz w:val="16"/>
              </w:rPr>
              <w:t>Étude de positionnement approfondie</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DG03   </w:t>
            </w:r>
            <w:r>
              <w:rPr>
                <w:b/>
                <w:color w:val="FFFFFF"/>
                <w:sz w:val="20"/>
              </w:rPr>
              <w:t>Supports de communication imprimés</w:t>
            </w:r>
            <w:r>
              <w:rPr>
                <w:b/>
                <w:color w:val="FFFFFF"/>
                <w:sz w:val="19"/>
              </w:rPr>
              <w:tab/>
              <w:t>200 000 – 400 000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Conception de supports : flyer, affiche, brochure, kakemono, dépliant (fichiers prêts pour l’impression).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Conception d’un support au choix (format standard)</w:t>
            </w:r>
          </w:p>
          <w:p>
            <w:pPr>
              <w:pStyle w:val="TTGCell"/>
              <w:keepNext/>
              <w:keepLines/>
              <w:ind w:left="170" w:hanging="170"/>
            </w:pPr>
            <w:r>
              <w:rPr>
                <w:b/>
                <w:color w:val="00A676"/>
                <w:sz w:val="16"/>
              </w:rPr>
              <w:t xml:space="preserve">• </w:t>
            </w:r>
            <w:r>
              <w:rPr>
                <w:sz w:val="16"/>
              </w:rPr>
              <w:t>Deux cycles de corrections</w:t>
            </w:r>
          </w:p>
          <w:p>
            <w:pPr>
              <w:pStyle w:val="TTGCell"/>
              <w:keepNext/>
              <w:keepLines/>
              <w:ind w:left="170" w:hanging="170"/>
            </w:pPr>
            <w:r>
              <w:rPr>
                <w:b/>
                <w:color w:val="00A676"/>
                <w:sz w:val="16"/>
              </w:rPr>
              <w:t xml:space="preserve">• </w:t>
            </w:r>
            <w:r>
              <w:rPr>
                <w:sz w:val="16"/>
              </w:rPr>
              <w:t>Fichiers prêts pour l’impression et version numérique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Fichier d’impression</w:t>
            </w:r>
          </w:p>
          <w:p>
            <w:pPr>
              <w:pStyle w:val="TTGCell"/>
              <w:keepNext/>
              <w:keepLines/>
              <w:ind w:left="170" w:hanging="170"/>
            </w:pPr>
            <w:r>
              <w:rPr>
                <w:b/>
                <w:color w:val="00A676"/>
                <w:sz w:val="16"/>
              </w:rPr>
              <w:t xml:space="preserve">• </w:t>
            </w:r>
            <w:r>
              <w:rPr>
                <w:sz w:val="16"/>
              </w:rPr>
              <w:t>Version numérique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1 à 2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Paiement intégral à la commande.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Impression et livraison</w:t>
            </w:r>
          </w:p>
          <w:p>
            <w:pPr>
              <w:pStyle w:val="TTGCell"/>
              <w:keepNext w:val="0"/>
              <w:keepLines/>
              <w:ind w:left="170" w:hanging="170"/>
            </w:pPr>
            <w:r>
              <w:rPr>
                <w:b/>
                <w:color w:val="00A676"/>
                <w:sz w:val="16"/>
              </w:rPr>
              <w:t xml:space="preserve">• </w:t>
            </w:r>
            <w:r>
              <w:rPr>
                <w:sz w:val="16"/>
              </w:rPr>
              <w:t>Photographies et illustrations sur mesure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pages</w:t>
            </w:r>
          </w:p>
          <w:p>
            <w:pPr>
              <w:pStyle w:val="TTGCell"/>
              <w:keepNext w:val="0"/>
              <w:keepLines/>
              <w:ind w:left="170" w:hanging="170"/>
            </w:pPr>
            <w:r>
              <w:rPr>
                <w:b/>
                <w:color w:val="00A676"/>
                <w:sz w:val="16"/>
              </w:rPr>
              <w:t xml:space="preserve">• </w:t>
            </w:r>
            <w:r>
              <w:rPr>
                <w:sz w:val="16"/>
              </w:rPr>
              <w:t>Format</w:t>
            </w:r>
          </w:p>
          <w:p>
            <w:pPr>
              <w:pStyle w:val="TTGCell"/>
              <w:keepNext w:val="0"/>
              <w:keepLines/>
              <w:ind w:left="170" w:hanging="170"/>
            </w:pPr>
            <w:r>
              <w:rPr>
                <w:b/>
                <w:color w:val="00A676"/>
                <w:sz w:val="16"/>
              </w:rPr>
              <w:t xml:space="preserve">• </w:t>
            </w:r>
            <w:r>
              <w:rPr>
                <w:sz w:val="16"/>
              </w:rPr>
              <w:t>Cycles supplémentaires</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DG04   </w:t>
            </w:r>
            <w:r>
              <w:rPr>
                <w:b/>
                <w:color w:val="FFFFFF"/>
                <w:sz w:val="20"/>
              </w:rPr>
              <w:t>Présentation institutionnelle ou pitch</w:t>
            </w:r>
            <w:r>
              <w:rPr>
                <w:b/>
                <w:color w:val="FFFFFF"/>
                <w:sz w:val="19"/>
              </w:rPr>
              <w:tab/>
              <w:t>375 000 – 750 000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Présentation de 12 à 20 diapositives pour dirigeants, partenaires ou financeurs, avec modèle réutilisable.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Structuration du message avec le client</w:t>
            </w:r>
          </w:p>
          <w:p>
            <w:pPr>
              <w:pStyle w:val="TTGCell"/>
              <w:keepNext/>
              <w:keepLines/>
              <w:ind w:left="170" w:hanging="170"/>
            </w:pPr>
            <w:r>
              <w:rPr>
                <w:b/>
                <w:color w:val="00A676"/>
                <w:sz w:val="16"/>
              </w:rPr>
              <w:t xml:space="preserve">• </w:t>
            </w:r>
            <w:r>
              <w:rPr>
                <w:sz w:val="16"/>
              </w:rPr>
              <w:t>Conception de 12 à 20 diapositives</w:t>
            </w:r>
          </w:p>
          <w:p>
            <w:pPr>
              <w:pStyle w:val="TTGCell"/>
              <w:keepNext/>
              <w:keepLines/>
              <w:ind w:left="170" w:hanging="170"/>
            </w:pPr>
            <w:r>
              <w:rPr>
                <w:b/>
                <w:color w:val="00A676"/>
                <w:sz w:val="16"/>
              </w:rPr>
              <w:t xml:space="preserve">• </w:t>
            </w:r>
            <w:r>
              <w:rPr>
                <w:sz w:val="16"/>
              </w:rPr>
              <w:t>Modèle modifiable pour les futures présentations</w:t>
            </w:r>
          </w:p>
          <w:p>
            <w:pPr>
              <w:pStyle w:val="TTGCell"/>
              <w:keepNext/>
              <w:keepLines/>
              <w:ind w:left="170" w:hanging="170"/>
            </w:pPr>
            <w:r>
              <w:rPr>
                <w:b/>
                <w:color w:val="00A676"/>
                <w:sz w:val="16"/>
              </w:rPr>
              <w:t xml:space="preserve">• </w:t>
            </w:r>
            <w:r>
              <w:rPr>
                <w:sz w:val="16"/>
              </w:rPr>
              <w:t>Deux cycles de corrections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Présentation modifiable</w:t>
            </w:r>
          </w:p>
          <w:p>
            <w:pPr>
              <w:pStyle w:val="TTGCell"/>
              <w:keepNext/>
              <w:keepLines/>
              <w:ind w:left="170" w:hanging="170"/>
            </w:pPr>
            <w:r>
              <w:rPr>
                <w:b/>
                <w:color w:val="00A676"/>
                <w:sz w:val="16"/>
              </w:rPr>
              <w:t xml:space="preserve">• </w:t>
            </w:r>
            <w:r>
              <w:rPr>
                <w:sz w:val="16"/>
              </w:rPr>
              <w:t>Version PDF</w:t>
            </w:r>
          </w:p>
          <w:p>
            <w:pPr>
              <w:pStyle w:val="TTGCell"/>
              <w:keepNext/>
              <w:keepLines/>
              <w:ind w:left="170" w:hanging="170"/>
            </w:pPr>
            <w:r>
              <w:rPr>
                <w:b/>
                <w:color w:val="00A676"/>
                <w:sz w:val="16"/>
              </w:rPr>
              <w:t xml:space="preserve">• </w:t>
            </w:r>
            <w:r>
              <w:rPr>
                <w:sz w:val="16"/>
              </w:rPr>
              <w:t>Modèle réutilisable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1 à 2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50 % à la commande, 50 % à la livraison. Variante 75 % / 25 % possible pour un projet court, sur accord écrit des parties.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Rédaction complète du fond</w:t>
            </w:r>
          </w:p>
          <w:p>
            <w:pPr>
              <w:pStyle w:val="TTGCell"/>
              <w:keepNext w:val="0"/>
              <w:keepLines/>
              <w:ind w:left="170" w:hanging="170"/>
            </w:pPr>
            <w:r>
              <w:rPr>
                <w:b/>
                <w:color w:val="00A676"/>
                <w:sz w:val="16"/>
              </w:rPr>
              <w:t xml:space="preserve">• </w:t>
            </w:r>
            <w:r>
              <w:rPr>
                <w:sz w:val="16"/>
              </w:rPr>
              <w:t>Traduction</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diapositives</w:t>
            </w:r>
          </w:p>
          <w:p>
            <w:pPr>
              <w:pStyle w:val="TTGCell"/>
              <w:keepNext w:val="0"/>
              <w:keepLines/>
              <w:ind w:left="170" w:hanging="170"/>
            </w:pPr>
            <w:r>
              <w:rPr>
                <w:b/>
                <w:color w:val="00A676"/>
                <w:sz w:val="16"/>
              </w:rPr>
              <w:t xml:space="preserve">• </w:t>
            </w:r>
            <w:r>
              <w:rPr>
                <w:sz w:val="16"/>
              </w:rPr>
              <w:t>Visualisations de données</w:t>
            </w:r>
          </w:p>
          <w:p>
            <w:pPr>
              <w:pStyle w:val="TTGCell"/>
              <w:keepNext w:val="0"/>
              <w:keepLines/>
              <w:ind w:left="170" w:hanging="170"/>
            </w:pPr>
            <w:r>
              <w:rPr>
                <w:b/>
                <w:color w:val="00A676"/>
                <w:sz w:val="16"/>
              </w:rPr>
              <w:t xml:space="preserve">• </w:t>
            </w:r>
            <w:r>
              <w:rPr>
                <w:sz w:val="16"/>
              </w:rPr>
              <w:t>Langue</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DG05   </w:t>
            </w:r>
            <w:r>
              <w:rPr>
                <w:b/>
                <w:color w:val="FFFFFF"/>
                <w:sz w:val="20"/>
              </w:rPr>
              <w:t>Pack papeterie et signatures</w:t>
            </w:r>
            <w:r>
              <w:rPr>
                <w:b/>
                <w:color w:val="FFFFFF"/>
                <w:sz w:val="19"/>
              </w:rPr>
              <w:tab/>
              <w:t>150 000 – 325 000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Carte de visite, papier à en-tête, signature e-mail et badge professionnel à partir de l’identité existante.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Carte de visite recto-verso</w:t>
            </w:r>
          </w:p>
          <w:p>
            <w:pPr>
              <w:pStyle w:val="TTGCell"/>
              <w:keepNext/>
              <w:keepLines/>
              <w:ind w:left="170" w:hanging="170"/>
            </w:pPr>
            <w:r>
              <w:rPr>
                <w:b/>
                <w:color w:val="00A676"/>
                <w:sz w:val="16"/>
              </w:rPr>
              <w:t xml:space="preserve">• </w:t>
            </w:r>
            <w:r>
              <w:rPr>
                <w:sz w:val="16"/>
              </w:rPr>
              <w:t>Papier à en-tête modifiable</w:t>
            </w:r>
          </w:p>
          <w:p>
            <w:pPr>
              <w:pStyle w:val="TTGCell"/>
              <w:keepNext/>
              <w:keepLines/>
              <w:ind w:left="170" w:hanging="170"/>
            </w:pPr>
            <w:r>
              <w:rPr>
                <w:b/>
                <w:color w:val="00A676"/>
                <w:sz w:val="16"/>
              </w:rPr>
              <w:t xml:space="preserve">• </w:t>
            </w:r>
            <w:r>
              <w:rPr>
                <w:sz w:val="16"/>
              </w:rPr>
              <w:t>Signature e-mail</w:t>
            </w:r>
          </w:p>
          <w:p>
            <w:pPr>
              <w:pStyle w:val="TTGCell"/>
              <w:keepNext/>
              <w:keepLines/>
              <w:ind w:left="170" w:hanging="170"/>
            </w:pPr>
            <w:r>
              <w:rPr>
                <w:b/>
                <w:color w:val="00A676"/>
                <w:sz w:val="16"/>
              </w:rPr>
              <w:t xml:space="preserve">• </w:t>
            </w:r>
            <w:r>
              <w:rPr>
                <w:sz w:val="16"/>
              </w:rPr>
              <w:t>Modèle de badge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Fichiers d’impression</w:t>
            </w:r>
          </w:p>
          <w:p>
            <w:pPr>
              <w:pStyle w:val="TTGCell"/>
              <w:keepNext/>
              <w:keepLines/>
              <w:ind w:left="170" w:hanging="170"/>
            </w:pPr>
            <w:r>
              <w:rPr>
                <w:b/>
                <w:color w:val="00A676"/>
                <w:sz w:val="16"/>
              </w:rPr>
              <w:t xml:space="preserve">• </w:t>
            </w:r>
            <w:r>
              <w:rPr>
                <w:sz w:val="16"/>
              </w:rPr>
              <w:t>Modèles modifiables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1 à 2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Paiement intégral à la commande.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Impression</w:t>
            </w:r>
          </w:p>
          <w:p>
            <w:pPr>
              <w:pStyle w:val="TTGCell"/>
              <w:keepNext w:val="0"/>
              <w:keepLines/>
              <w:ind w:left="170" w:hanging="170"/>
            </w:pPr>
            <w:r>
              <w:rPr>
                <w:b/>
                <w:color w:val="00A676"/>
                <w:sz w:val="16"/>
              </w:rPr>
              <w:t xml:space="preserve">• </w:t>
            </w:r>
            <w:r>
              <w:rPr>
                <w:sz w:val="16"/>
              </w:rPr>
              <w:t>Création de logo</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collaborateurs (déclinaisons)</w:t>
            </w:r>
          </w:p>
          <w:p>
            <w:pPr>
              <w:pStyle w:val="TTGCell"/>
              <w:keepNext w:val="0"/>
              <w:keepLines/>
              <w:ind w:left="170" w:hanging="170"/>
            </w:pPr>
            <w:r>
              <w:rPr>
                <w:b/>
                <w:color w:val="00A676"/>
                <w:sz w:val="16"/>
              </w:rPr>
              <w:t xml:space="preserve">• </w:t>
            </w:r>
            <w:r>
              <w:rPr>
                <w:sz w:val="16"/>
              </w:rPr>
              <w:t>Formats spéciaux</w:t>
            </w:r>
          </w:p>
        </w:tc>
      </w:tr>
    </w:tbl>
    <w:p>
      <w:pPr>
        <w:spacing w:after="140"/>
      </w:pPr>
    </w:p>
    <w:p>
      <w:pPr>
        <w:pStyle w:val="Heading1"/>
        <w:pBdr>
          <w:bottom w:val="single" w:sz="6" w:space="4" w:color="00A676"/>
        </w:pBdr>
      </w:pPr>
      <w:r>
        <w:t>4. Options applicables</w:t>
      </w:r>
    </w:p>
    <w:tbl>
      <w:tblPr>
        <w:jc w:val="center"/>
        <w:tblLayout w:type="fixed"/>
        <w:tblLook w:firstColumn="1" w:firstRow="1" w:lastColumn="0" w:lastRow="0" w:noHBand="0" w:noVBand="1" w:val="04A0"/>
        <w:tblLayout w:type="fixed"/>
        <w:tblW w:w="9639" w:type="dxa"/>
      </w:tblPr>
      <w:tblGrid>
        <w:gridCol w:w="850"/>
        <w:gridCol w:w="4706"/>
        <w:gridCol w:w="1927"/>
        <w:gridCol w:w="2154"/>
      </w:tblGrid>
      <w:tr>
        <w:trPr>
          <w:tblHeader w:val="true"/>
          <w:cantSplit/>
        </w:trPr>
        <w:tc>
          <w:tcPr>
            <w:tcW w:type="dxa" w:w="850"/>
            <w:shd w:val="clear" w:color="auto" w:fill="0B5A45"/>
            <w:tcMar>
              <w:top w:w="70" w:type="dxa"/>
              <w:left w:w="90" w:type="dxa"/>
              <w:bottom w:w="70" w:type="dxa"/>
              <w:right w:w="90" w:type="dxa"/>
            </w:tcMar>
            <w:vAlign w:val="center"/>
          </w:tcPr>
          <w:p>
            <w:pPr>
              <w:pStyle w:val="TTGCell"/>
            </w:pPr>
            <w:r>
              <w:rPr>
                <w:b/>
                <w:color w:val="FFFFFF"/>
                <w:sz w:val="17"/>
              </w:rPr>
              <w:t>Code</w:t>
            </w:r>
          </w:p>
        </w:tc>
        <w:tc>
          <w:tcPr>
            <w:tcW w:type="dxa" w:w="4706"/>
            <w:shd w:val="clear" w:color="auto" w:fill="0B5A45"/>
            <w:tcMar>
              <w:top w:w="70" w:type="dxa"/>
              <w:left w:w="90" w:type="dxa"/>
              <w:bottom w:w="70" w:type="dxa"/>
              <w:right w:w="90" w:type="dxa"/>
            </w:tcMar>
            <w:vAlign w:val="center"/>
          </w:tcPr>
          <w:p>
            <w:pPr>
              <w:pStyle w:val="TTGCell"/>
            </w:pPr>
            <w:r>
              <w:rPr>
                <w:b/>
                <w:color w:val="FFFFFF"/>
                <w:sz w:val="17"/>
              </w:rPr>
              <w:t>Option ou supplément</w:t>
            </w:r>
          </w:p>
        </w:tc>
        <w:tc>
          <w:tcPr>
            <w:tcW w:type="dxa" w:w="1928"/>
            <w:shd w:val="clear" w:color="auto" w:fill="0B5A45"/>
            <w:tcMar>
              <w:top w:w="70" w:type="dxa"/>
              <w:left w:w="90" w:type="dxa"/>
              <w:bottom w:w="70" w:type="dxa"/>
              <w:right w:w="90" w:type="dxa"/>
            </w:tcMar>
            <w:vAlign w:val="center"/>
          </w:tcPr>
          <w:p>
            <w:pPr>
              <w:pStyle w:val="TTGCell"/>
              <w:jc w:val="right"/>
            </w:pPr>
            <w:r>
              <w:rPr>
                <w:b/>
                <w:color w:val="FFFFFF"/>
                <w:sz w:val="17"/>
              </w:rPr>
              <w:t>Prix indicatif HT</w:t>
            </w:r>
          </w:p>
        </w:tc>
        <w:tc>
          <w:tcPr>
            <w:tcW w:type="dxa" w:w="2154"/>
            <w:shd w:val="clear" w:color="auto" w:fill="0B5A45"/>
            <w:tcMar>
              <w:top w:w="70" w:type="dxa"/>
              <w:left w:w="90" w:type="dxa"/>
              <w:bottom w:w="70" w:type="dxa"/>
              <w:right w:w="90" w:type="dxa"/>
            </w:tcMar>
            <w:vAlign w:val="center"/>
          </w:tcPr>
          <w:p>
            <w:pPr>
              <w:pStyle w:val="TTGCell"/>
            </w:pPr>
            <w:r>
              <w:rPr>
                <w:b/>
                <w:color w:val="FFFFFF"/>
                <w:sz w:val="17"/>
              </w:rPr>
              <w:t>Unité ou condition</w:t>
            </w:r>
          </w:p>
        </w:tc>
      </w:tr>
      <w:tr>
        <w:trPr>
          <w:cantSplit/>
        </w:trPr>
        <w:tc>
          <w:tcPr>
            <w:tcW w:type="dxa" w:w="850"/>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b/>
                <w:sz w:val="17"/>
              </w:rPr>
              <w:t>OP10</w:t>
            </w:r>
          </w:p>
        </w:tc>
        <w:tc>
          <w:tcPr>
            <w:tcW w:type="dxa" w:w="4706"/>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Cycle de corrections supplémentaire (design)</w:t>
            </w:r>
          </w:p>
        </w:tc>
        <w:tc>
          <w:tcPr>
            <w:tcW w:type="dxa" w:w="1928"/>
            <w:tcMar>
              <w:top w:w="55" w:type="dxa"/>
              <w:left w:w="90" w:type="dxa"/>
              <w:bottom w:w="55" w:type="dxa"/>
              <w:right w:w="90" w:type="dxa"/>
            </w:tcMar>
            <w:tcBorders>
              <w:top w:val="single" w:sz="4" w:space="0" w:color="D5DBE2"/>
              <w:left w:val="nil"/>
              <w:bottom w:val="single" w:sz="4" w:space="0" w:color="D5DBE2"/>
              <w:right w:val="nil"/>
            </w:tcBorders>
          </w:tcPr>
          <w:p>
            <w:pPr>
              <w:pStyle w:val="TTGCell"/>
              <w:jc w:val="right"/>
            </w:pPr>
            <w:r>
              <w:rPr>
                <w:sz w:val="17"/>
              </w:rPr>
              <w:t>60 000 FCFA</w:t>
            </w:r>
          </w:p>
        </w:tc>
        <w:tc>
          <w:tcPr>
            <w:tcW w:type="dxa" w:w="2154"/>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par cycle</w:t>
            </w:r>
          </w:p>
        </w:tc>
      </w:tr>
      <w:tr>
        <w:trPr>
          <w:cantSplit/>
        </w:trPr>
        <w:tc>
          <w:tcPr>
            <w:tcW w:type="dxa" w:w="85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OP11</w:t>
            </w:r>
          </w:p>
        </w:tc>
        <w:tc>
          <w:tcPr>
            <w:tcW w:type="dxa" w:w="4706"/>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Délai accéléré (urgence, selon faisabilité)</w:t>
            </w:r>
          </w:p>
        </w:tc>
        <w:tc>
          <w:tcPr>
            <w:tcW w:type="dxa" w:w="1928"/>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Sur devis</w:t>
            </w:r>
          </w:p>
        </w:tc>
        <w:tc>
          <w:tcPr>
            <w:tcW w:type="dxa" w:w="2154"/>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+25 % du montant HT</w:t>
            </w:r>
          </w:p>
        </w:tc>
      </w:tr>
      <w:tr>
        <w:trPr>
          <w:cantSplit/>
        </w:trPr>
        <w:tc>
          <w:tcPr>
            <w:tcW w:type="dxa" w:w="850"/>
            <w:tcMar>
              <w:top w:w="55" w:type="dxa"/>
              <w:left w:w="90" w:type="dxa"/>
              <w:bottom w:w="55" w:type="dxa"/>
              <w:right w:w="90" w:type="dxa"/>
            </w:tcMar>
            <w:tcBorders>
              <w:top w:val="nil"/>
              <w:left w:val="nil"/>
              <w:bottom w:val="single" w:sz="4" w:space="0" w:color="D5DBE2"/>
              <w:right w:val="nil"/>
            </w:tcBorders>
          </w:tcPr>
          <w:p>
            <w:pPr>
              <w:pStyle w:val="TTGCell"/>
            </w:pPr>
            <w:r>
              <w:rPr>
                <w:b/>
                <w:sz w:val="17"/>
              </w:rPr>
              <w:t>OP12</w:t>
            </w:r>
          </w:p>
        </w:tc>
        <w:tc>
          <w:tcPr>
            <w:tcW w:type="dxa" w:w="4706"/>
            <w:tcMar>
              <w:top w:w="55" w:type="dxa"/>
              <w:left w:w="90" w:type="dxa"/>
              <w:bottom w:w="55" w:type="dxa"/>
              <w:right w:w="90" w:type="dxa"/>
            </w:tcMar>
            <w:tcBorders>
              <w:top w:val="nil"/>
              <w:left w:val="nil"/>
              <w:bottom w:val="single" w:sz="4" w:space="0" w:color="D5DBE2"/>
              <w:right w:val="nil"/>
            </w:tcBorders>
          </w:tcPr>
          <w:p>
            <w:pPr>
              <w:pStyle w:val="TTGCell"/>
            </w:pPr>
            <w:r>
              <w:rPr>
                <w:sz w:val="17"/>
              </w:rPr>
              <w:t>Déplacement hors Brazzaville</w:t>
            </w:r>
          </w:p>
        </w:tc>
        <w:tc>
          <w:tcPr>
            <w:tcW w:type="dxa" w:w="1928"/>
            <w:tcMar>
              <w:top w:w="55" w:type="dxa"/>
              <w:left w:w="90" w:type="dxa"/>
              <w:bottom w:w="55" w:type="dxa"/>
              <w:right w:w="90" w:type="dxa"/>
            </w:tcMar>
            <w:tcBorders>
              <w:top w:val="nil"/>
              <w:left w:val="nil"/>
              <w:bottom w:val="single" w:sz="4" w:space="0" w:color="D5DBE2"/>
              <w:right w:val="nil"/>
            </w:tcBorders>
          </w:tcPr>
          <w:p>
            <w:pPr>
              <w:pStyle w:val="TTGCell"/>
              <w:jc w:val="right"/>
            </w:pPr>
            <w:r>
              <w:rPr>
                <w:sz w:val="17"/>
              </w:rPr>
              <w:t>Sur devis</w:t>
            </w:r>
          </w:p>
        </w:tc>
        <w:tc>
          <w:tcPr>
            <w:tcW w:type="dxa" w:w="2154"/>
            <w:tcMar>
              <w:top w:w="55" w:type="dxa"/>
              <w:left w:w="90" w:type="dxa"/>
              <w:bottom w:w="55" w:type="dxa"/>
              <w:right w:w="90" w:type="dxa"/>
            </w:tcMar>
            <w:tcBorders>
              <w:top w:val="nil"/>
              <w:left w:val="nil"/>
              <w:bottom w:val="single" w:sz="4" w:space="0" w:color="D5DBE2"/>
              <w:right w:val="nil"/>
            </w:tcBorders>
          </w:tcPr>
          <w:p>
            <w:pPr>
              <w:pStyle w:val="TTGCell"/>
            </w:pPr>
            <w:r>
              <w:rPr>
                <w:sz w:val="17"/>
              </w:rPr>
              <w:t>frais réels justifiés + indemnité journalière à convenir</w:t>
            </w:r>
          </w:p>
        </w:tc>
      </w:tr>
    </w:tbl>
    <w:p>
      <w:pPr>
        <w:spacing w:after="80"/>
      </w:pPr>
    </w:p>
    <w:p>
      <w:r>
        <w:t>Les options sont facturées en sus de la prestation principale, sur la base d’un devis. Les prix sont indicatifs et provisoires.</w:t>
      </w:r>
    </w:p>
    <w:p>
      <w:pPr>
        <w:pStyle w:val="Heading1"/>
        <w:pBdr>
          <w:bottom w:val="single" w:sz="6" w:space="4" w:color="00A676"/>
        </w:pBdr>
      </w:pPr>
      <w:r>
        <w:t>5. Conditions spécifiques et éléments à valider</w:t>
      </w:r>
    </w:p>
    <w:p>
      <w:pPr>
        <w:pStyle w:val="Heading2"/>
      </w:pPr>
      <w:r>
        <w:t>Conditions générales applicables</w:t>
      </w:r>
    </w:p>
    <w:p>
      <w:pPr>
        <w:pStyle w:val="ListBullet"/>
      </w:pPr>
      <w:r>
        <w:t>Tous les prix sont exprimés en francs CFA (FCFA), hors taxes. Le régime et le taux de TVA applicables sont à confirmer avec l’administration fiscale ou un expert-comptable.</w:t>
      </w:r>
    </w:p>
    <w:p>
      <w:pPr>
        <w:pStyle w:val="ListBullet"/>
      </w:pPr>
      <w:r>
        <w:t xml:space="preserve">Les prix présentés sont des </w:t>
      </w:r>
      <w:r>
        <w:rPr>
          <w:b/>
        </w:rPr>
        <w:t>tarifs indicatifs</w:t>
      </w:r>
      <w:r>
        <w:t xml:space="preserve"> (propositions de travail provisoires). Le prix définitif est celui du devis signé par les deux parties.</w:t>
      </w:r>
    </w:p>
    <w:p>
      <w:pPr>
        <w:pStyle w:val="ListBullet"/>
      </w:pPr>
      <w:r>
        <w:t xml:space="preserve">Un devis détaillé, valable </w:t>
      </w:r>
      <w:r>
        <w:rPr>
          <w:color w:val="8A5A00"/>
          <w:shd w:val="clear" w:color="auto" w:fill="FFF4D6"/>
        </w:rPr>
        <w:t>[à compléter : 30]</w:t>
      </w:r>
      <w:r>
        <w:t xml:space="preserve"> jours, précise le périmètre, les livrables, le calendrier et les modalités de paiement.</w:t>
      </w:r>
    </w:p>
    <w:p>
      <w:pPr>
        <w:pStyle w:val="ListBullet"/>
      </w:pPr>
      <w:r>
        <w:t>Les modalités de paiement sont adaptées à chaque contrat. Un acompte de 75 % et un solde de 25 % peuvent être proposés pour un projet court, uniquement avec l’accord écrit des deux parties ; ce schéma n’est pas systématique.</w:t>
      </w:r>
    </w:p>
    <w:p>
      <w:pPr>
        <w:pStyle w:val="Heading2"/>
      </w:pPr>
      <w:r>
        <w:t>Éléments à valider avant engagement</w:t>
      </w:r>
    </w:p>
    <w:p>
      <w:pPr>
        <w:pStyle w:val="ListBullet"/>
      </w:pPr>
      <w:r>
        <w:t>Droits d’auteur et cession des créations : modalités à fixer au contrat.</w:t>
      </w:r>
    </w:p>
    <w:p>
      <w:pPr>
        <w:pStyle w:val="ListBullet"/>
      </w:pPr>
      <w:r>
        <w:t>Dépôt de marque : hors prestation ; démarches à confier à un conseil en propriété intellectuelle.</w:t>
      </w:r>
    </w:p>
    <w:p>
      <w:pPr>
        <w:pStyle w:val="ListBullet"/>
      </w:pPr>
      <w:r>
        <w:t>Polices et banques d’images sous licence : coûts à la charge du client.</w:t>
      </w:r>
    </w:p>
    <w:tbl>
      <w:tblPr>
        <w:jc w:val="center"/>
        <w:tblLayout w:type="fixed"/>
        <w:tblLook w:firstColumn="1" w:firstRow="1" w:lastColumn="0" w:lastRow="0" w:noHBand="0" w:noVBand="1" w:val="04A0"/>
        <w:tblLayout w:type="fixed"/>
        <w:tblW w:w="9639" w:type="dxa"/>
      </w:tblPr>
      <w:tblGrid>
        <w:gridCol w:w="2608"/>
        <w:gridCol w:w="7031"/>
      </w:tblGrid>
      <w:tr>
        <w:trPr>
          <w:cantSplit/>
        </w:trPr>
        <w:tc>
          <w:tcPr>
            <w:tcW w:type="dxa" w:w="2608"/>
            <w:shd w:val="clear" w:color="auto" w:fill="E8F4EF"/>
            <w:tcMar>
              <w:top w:w="60" w:type="dxa"/>
              <w:left w:w="100" w:type="dxa"/>
              <w:bottom w:w="60" w:type="dxa"/>
              <w:right w:w="100" w:type="dxa"/>
            </w:tcMar>
            <w:tcBorders>
              <w:top w:val="single" w:sz="4" w:space="0" w:color="D5DBE2"/>
              <w:left w:val="single" w:sz="4" w:space="0" w:color="D5DBE2"/>
              <w:bottom w:val="single" w:sz="4" w:space="0" w:color="D5DBE2"/>
              <w:right w:val="single" w:sz="4" w:space="0" w:color="D5DBE2"/>
            </w:tcBorders>
          </w:tcPr>
          <w:p>
            <w:pPr>
              <w:pStyle w:val="TTGCell"/>
            </w:pPr>
            <w:r>
              <w:rPr>
                <w:b/>
                <w:color w:val="063D2E"/>
                <w:sz w:val="17"/>
              </w:rPr>
              <w:t>Validité de la grille</w:t>
            </w:r>
          </w:p>
        </w:tc>
        <w:tc>
          <w:tcPr>
            <w:tcW w:type="dxa" w:w="7030"/>
            <w:tcMar>
              <w:top w:w="60" w:type="dxa"/>
              <w:left w:w="100" w:type="dxa"/>
              <w:bottom w:w="60" w:type="dxa"/>
              <w:right w:w="100" w:type="dxa"/>
            </w:tcMar>
            <w:tcBorders>
              <w:top w:val="single" w:sz="4" w:space="0" w:color="D5DBE2"/>
              <w:left w:val="single" w:sz="4" w:space="0" w:color="D5DBE2"/>
              <w:bottom w:val="single" w:sz="4" w:space="0" w:color="D5DBE2"/>
              <w:right w:val="single" w:sz="4" w:space="0" w:color="D5DBE2"/>
            </w:tcBorders>
          </w:tcPr>
          <w:p>
            <w:pPr>
              <w:pStyle w:val="TTGCell"/>
            </w:pPr>
            <w:r>
              <w:rPr>
                <w:color w:val="8A5A00"/>
                <w:sz w:val="17"/>
                <w:shd w:val="clear" w:color="auto" w:fill="FFF4D6"/>
              </w:rPr>
              <w:t>[À compléter : date de validation et durée]</w:t>
            </w:r>
          </w:p>
        </w:tc>
      </w:tr>
      <w:tr>
        <w:trPr>
          <w:cantSplit/>
        </w:trPr>
        <w:tc>
          <w:tcPr>
            <w:tcW w:type="dxa" w:w="2608"/>
            <w:shd w:val="clear" w:color="auto" w:fill="E8F4EF"/>
            <w:tcMar>
              <w:top w:w="60" w:type="dxa"/>
              <w:left w:w="100" w:type="dxa"/>
              <w:bottom w:w="60" w:type="dxa"/>
              <w:right w:w="100" w:type="dxa"/>
            </w:tcMar>
            <w:tcBorders>
              <w:top w:val="single" w:sz="4" w:space="0" w:color="D5DBE2"/>
              <w:left w:val="single" w:sz="4" w:space="0" w:color="D5DBE2"/>
              <w:bottom w:val="single" w:sz="4" w:space="0" w:color="D5DBE2"/>
              <w:right w:val="single" w:sz="4" w:space="0" w:color="D5DBE2"/>
            </w:tcBorders>
          </w:tcPr>
          <w:p>
            <w:pPr>
              <w:pStyle w:val="TTGCell"/>
            </w:pPr>
            <w:r>
              <w:rPr>
                <w:b/>
                <w:color w:val="063D2E"/>
                <w:sz w:val="17"/>
              </w:rPr>
              <w:t>Contact commercial</w:t>
            </w:r>
          </w:p>
        </w:tc>
        <w:tc>
          <w:tcPr>
            <w:tcW w:type="dxa" w:w="7030"/>
            <w:tcMar>
              <w:top w:w="60" w:type="dxa"/>
              <w:left w:w="100" w:type="dxa"/>
              <w:bottom w:w="60" w:type="dxa"/>
              <w:right w:w="100" w:type="dxa"/>
            </w:tcMar>
            <w:tcBorders>
              <w:top w:val="single" w:sz="4" w:space="0" w:color="D5DBE2"/>
              <w:left w:val="single" w:sz="4" w:space="0" w:color="D5DBE2"/>
              <w:bottom w:val="single" w:sz="4" w:space="0" w:color="D5DBE2"/>
              <w:right w:val="single" w:sz="4" w:space="0" w:color="D5DBE2"/>
            </w:tcBorders>
          </w:tcPr>
          <w:p>
            <w:pPr>
              <w:pStyle w:val="TTGCell"/>
            </w:pPr>
            <w:r>
              <w:rPr>
                <w:color w:val="8A5A00"/>
                <w:sz w:val="17"/>
                <w:shd w:val="clear" w:color="auto" w:fill="FFF4D6"/>
              </w:rPr>
              <w:t>[À compléter]</w:t>
            </w:r>
          </w:p>
        </w:tc>
      </w:tr>
    </w:tbl>
    <w:p>
      <w:pPr>
        <w:spacing w:after="80"/>
      </w:pPr>
    </w:p>
    <w:sectPr w:rsidR="00FC693F" w:rsidRPr="0006063C" w:rsidSect="00034616">
      <w:headerReference w:type="default" r:id="rId9"/>
      <w:footerReference w:type="default" r:id="rId10"/>
      <w:pgSz w:w="11906" w:h="16838"/>
      <w:pgMar w:top="1417" w:right="1134" w:bottom="1191"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638" w:val="right"/>
      </w:tabs>
      <w:pBdr>
        <w:top w:val="single" w:sz="4" w:space="6" w:color="D5DBE2"/>
      </w:pBdr>
    </w:pPr>
    <w:r>
      <w:rPr>
        <w:color w:val="626262"/>
        <w:sz w:val="15"/>
      </w:rPr>
      <w:t xml:space="preserve">TechnologyTrade Group  ·  TTG-GT-02-C03  ·  v1.0 — Projet  ·  </w:t>
    </w:r>
    <w:r>
      <w:rPr>
        <w:b/>
        <w:color w:val="0B5A45"/>
        <w:sz w:val="15"/>
      </w:rPr>
      <w:t>Diffusion contrôlée</w:t>
    </w:r>
    <w:r>
      <w:rPr>
        <w:color w:val="626262"/>
        <w:sz w:val="15"/>
      </w:rPr>
      <w:tab/>
      <w:t xml:space="preserve">Page </w:t>
    </w:r>
    <w:r>
      <w:fldChar w:fldCharType="begin"/>
    </w:r>
    <w:r>
      <w:instrText xml:space="preserve"> PAGE </w:instrText>
    </w:r>
    <w:r>
      <w:fldChar w:fldCharType="separate"/>
    </w:r>
    <w:r>
      <w:t>1</w:t>
    </w:r>
    <w:r>
      <w:fldChar w:fldCharType="end"/>
    </w:r>
    <w:r>
      <w:rPr>
        <w:color w:val="626262"/>
        <w:sz w:val="15"/>
      </w:rPr>
      <w:t xml:space="preserve"> sur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638" w:val="right"/>
      </w:tabs>
      <w:spacing w:after="0"/>
      <w:pBdr>
        <w:bottom w:val="single" w:sz="6" w:space="6" w:color="00A676"/>
      </w:pBdr>
    </w:pPr>
    <w:r>
      <w:drawing>
        <wp:inline xmlns:a="http://schemas.openxmlformats.org/drawingml/2006/main" xmlns:pic="http://schemas.openxmlformats.org/drawingml/2006/picture">
          <wp:extent cx="1207989" cy="378000"/>
          <wp:docPr id="1" name="Picture 1"/>
          <wp:cNvGraphicFramePr>
            <a:graphicFrameLocks noChangeAspect="1"/>
          </wp:cNvGraphicFramePr>
          <a:graphic>
            <a:graphicData uri="http://schemas.openxmlformats.org/drawingml/2006/picture">
              <pic:pic>
                <pic:nvPicPr>
                  <pic:cNvPr id="0" name="Logo_horizontal_couleur.png"/>
                  <pic:cNvPicPr/>
                </pic:nvPicPr>
                <pic:blipFill>
                  <a:blip r:embed="rId1"/>
                  <a:stretch>
                    <a:fillRect/>
                  </a:stretch>
                </pic:blipFill>
                <pic:spPr>
                  <a:xfrm>
                    <a:off x="0" y="0"/>
                    <a:ext cx="1207989" cy="378000"/>
                  </a:xfrm>
                  <a:prstGeom prst="rect"/>
                </pic:spPr>
              </pic:pic>
            </a:graphicData>
          </a:graphic>
        </wp:inline>
      </w:drawing>
    </w:r>
    <w:r>
      <w:rPr>
        <w:color w:val="626262"/>
        <w:sz w:val="15"/>
      </w:rPr>
      <w:tab/>
      <w:t>Grille tarifaire · catégorie 3 · Design graphique et identité visuelle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283" w:lineRule="auto"/>
    </w:pPr>
    <w:rPr>
      <w:rFonts w:ascii="Montserrat" w:hAnsi="Montserrat" w:cs="Montserrat" w:eastAsia="Montserrat"/>
      <w:color w:val="1E1E1E"/>
      <w:sz w:val="19"/>
      <w:lang w:val="fr-FR" w:eastAsia="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line="264" w:lineRule="auto"/>
      <w:outlineLvl w:val="0"/>
    </w:pPr>
    <w:rPr>
      <w:rFonts w:ascii="Montserrat" w:hAnsi="Montserrat" w:cs="Montserrat" w:eastAsia="Montserrat"/>
      <w:b/>
      <w:bCs/>
      <w:i w:val="0"/>
      <w:color w:val="063D2E"/>
      <w:sz w:val="34"/>
      <w:szCs w:val="28"/>
    </w:rPr>
  </w:style>
  <w:style w:type="paragraph" w:styleId="Heading2">
    <w:name w:val="heading 2"/>
    <w:basedOn w:val="Normal"/>
    <w:next w:val="Normal"/>
    <w:link w:val="Heading2Char"/>
    <w:uiPriority w:val="9"/>
    <w:unhideWhenUsed/>
    <w:qFormat/>
    <w:rsid w:val="00FC693F"/>
    <w:pPr>
      <w:keepNext/>
      <w:keepLines/>
      <w:spacing w:before="280" w:after="100" w:line="264" w:lineRule="auto"/>
      <w:outlineLvl w:val="1"/>
    </w:pPr>
    <w:rPr>
      <w:rFonts w:ascii="Montserrat" w:hAnsi="Montserrat" w:cs="Montserrat" w:eastAsia="Montserrat"/>
      <w:b/>
      <w:bCs/>
      <w:i w:val="0"/>
      <w:color w:val="0B5A45"/>
      <w:sz w:val="25"/>
      <w:szCs w:val="26"/>
    </w:rPr>
  </w:style>
  <w:style w:type="paragraph" w:styleId="Heading3">
    <w:name w:val="heading 3"/>
    <w:basedOn w:val="Normal"/>
    <w:next w:val="Normal"/>
    <w:link w:val="Heading3Char"/>
    <w:uiPriority w:val="9"/>
    <w:unhideWhenUsed/>
    <w:qFormat/>
    <w:rsid w:val="00FC693F"/>
    <w:pPr>
      <w:keepNext/>
      <w:keepLines/>
      <w:spacing w:before="200" w:after="60" w:line="264" w:lineRule="auto"/>
      <w:outlineLvl w:val="2"/>
    </w:pPr>
    <w:rPr>
      <w:rFonts w:ascii="Montserrat" w:hAnsi="Montserrat" w:cs="Montserrat" w:eastAsia="Montserrat"/>
      <w:b/>
      <w:bCs/>
      <w:i w:val="0"/>
      <w:color w:val="0B5A4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76" w:lineRule="auto"/>
      <w:contextualSpacing/>
    </w:pPr>
    <w:rPr>
      <w:rFonts w:ascii="Montserrat" w:hAnsi="Montserrat"/>
      <w:sz w:val="19"/>
    </w:rPr>
  </w:style>
  <w:style w:type="paragraph" w:styleId="ListBullet2">
    <w:name w:val="List Bullet 2"/>
    <w:basedOn w:val="Normal"/>
    <w:uiPriority w:val="99"/>
    <w:unhideWhenUsed/>
    <w:rsid w:val="00326F90"/>
    <w:pPr>
      <w:numPr>
        <w:numId w:val="2"/>
      </w:numPr>
      <w:spacing w:after="50" w:line="276" w:lineRule="auto"/>
      <w:contextualSpacing/>
    </w:pPr>
    <w:rPr>
      <w:rFonts w:ascii="Montserrat" w:hAnsi="Montserrat"/>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spacing w:after="80" w:before="120"/>
      <w:ind w:left="0"/>
    </w:pPr>
    <w:rPr>
      <w:b/>
      <w:color w:val="063D2E"/>
      <w:sz w:val="20"/>
    </w:rPr>
  </w:style>
  <w:style w:type="paragraph" w:customStyle="1" w:styleId="TOC2">
    <w:name w:val="TOC 2"/>
    <w:basedOn w:val="Normal"/>
    <w:pPr>
      <w:spacing w:after="60" w:before="0"/>
      <w:ind w:left="340"/>
    </w:pPr>
    <w:rPr>
      <w:b w:val="0"/>
      <w:color w:val="1E1E1E"/>
      <w:sz w:val="18"/>
    </w:rPr>
  </w:style>
  <w:style w:type="paragraph" w:customStyle="1" w:styleId="TTGCell">
    <w:name w:val="TTG Cell"/>
    <w:basedOn w:val="Normal"/>
    <w:pPr>
      <w:spacing w:after="30" w:before="0" w:line="264" w:lineRule="auto"/>
    </w:pPr>
    <w:rPr>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Grille tarifaire — Design graphique et identité visuelle</dc:title>
  <dc:subject>Catégorie 3 sur 8 · tarifs indicatifs en FCFA, hors taxes</dc:subject>
  <dc:creator>TechnologyTrade Group</dc:creator>
  <cp:keywords>TTG-GT-02-C03</cp:keywords>
  <dc:description>Document modifiable — champs à compléter surlignés</dc:description>
  <cp:lastModifiedBy/>
  <cp:revision>1</cp:revision>
  <dcterms:created xsi:type="dcterms:W3CDTF">2013-12-23T23:15:00Z</dcterms:created>
  <dcterms:modified xsi:type="dcterms:W3CDTF">2013-12-23T23:15:00Z</dcterms:modified>
  <cp:category/>
  <dc:language>fr-FR</dc:language>
</cp:coreProperties>
</file>