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639" w:type="dxa"/>
      </w:tblPr>
      <w:tblGrid>
        <w:gridCol w:w="9639"/>
      </w:tblGrid>
      <w:tr>
        <w:trPr>
          <w:trHeight w:val="6917" w:hRule="atLeast"/>
        </w:trPr>
        <w:tc>
          <w:tcPr>
            <w:tcW w:type="dxa" w:w="9638"/>
            <w:shd w:val="clear" w:color="auto" w:fill="063D2E"/>
            <w:tcMar>
              <w:top w:w="500" w:type="dxa"/>
              <w:left w:w="600" w:type="dxa"/>
              <w:bottom w:w="400" w:type="dxa"/>
              <w:right w:w="500" w:type="dxa"/>
            </w:tcMar>
            <w:vAlign w:val="top"/>
          </w:tcPr>
          <w:p>
            <w:pPr>
              <w:spacing w:after="1400"/>
            </w:pPr>
            <w:r>
              <w:drawing>
                <wp:inline xmlns:a="http://schemas.openxmlformats.org/drawingml/2006/main" xmlns:pic="http://schemas.openxmlformats.org/drawingml/2006/picture">
                  <wp:extent cx="2185885" cy="684000"/>
                  <wp:docPr id="1" name="Picture 1"/>
                  <wp:cNvGraphicFramePr>
                    <a:graphicFrameLocks noChangeAspect="1"/>
                  </wp:cNvGraphicFramePr>
                  <a:graphic>
                    <a:graphicData uri="http://schemas.openxmlformats.org/drawingml/2006/picture">
                      <pic:pic>
                        <pic:nvPicPr>
                          <pic:cNvPr id="0" name="Logo_horizontal_blanc.png"/>
                          <pic:cNvPicPr/>
                        </pic:nvPicPr>
                        <pic:blipFill>
                          <a:blip r:embed="rId11"/>
                          <a:stretch>
                            <a:fillRect/>
                          </a:stretch>
                        </pic:blipFill>
                        <pic:spPr>
                          <a:xfrm>
                            <a:off x="0" y="0"/>
                            <a:ext cx="2185885" cy="684000"/>
                          </a:xfrm>
                          <a:prstGeom prst="rect"/>
                        </pic:spPr>
                      </pic:pic>
                    </a:graphicData>
                  </a:graphic>
                </wp:inline>
              </w:drawing>
            </w:r>
          </w:p>
          <w:p>
            <w:pPr>
              <w:spacing w:after="200"/>
            </w:pPr>
            <w:r>
              <w:rPr>
                <w:b/>
                <w:color w:val="00A676"/>
                <w:sz w:val="20"/>
                <w:spacing w:val="40"/>
              </w:rPr>
              <w:t>GRILLE TARIFAIRE · CATÉGORIE 4</w:t>
            </w:r>
          </w:p>
          <w:p>
            <w:pPr>
              <w:spacing w:after="200" w:line="252" w:lineRule="auto"/>
            </w:pPr>
            <w:r>
              <w:rPr>
                <w:b/>
                <w:color w:val="FFFFFF"/>
                <w:sz w:val="56"/>
              </w:rPr>
              <w:t>Grille tarifaire — Communication digitale et création de contenus</w:t>
            </w:r>
          </w:p>
          <w:p>
            <w:pPr>
              <w:spacing w:after="0" w:line="288" w:lineRule="auto"/>
            </w:pPr>
            <w:r>
              <w:rPr>
                <w:color w:val="D9EFE7"/>
                <w:sz w:val="24"/>
              </w:rPr>
              <w:t>Catégorie 4 sur 8 · tarifs indicatifs en FCFA, hors taxes</w:t>
            </w:r>
          </w:p>
        </w:tc>
      </w:tr>
    </w:tbl>
    <w:tbl>
      <w:tblPr>
        <w:jc w:val="center"/>
        <w:tblLayout w:type="fixed"/>
        <w:tblLook w:firstColumn="1" w:firstRow="1" w:lastColumn="0" w:lastRow="0" w:noHBand="0" w:noVBand="1" w:val="04A0"/>
        <w:tblLayout w:type="fixed"/>
        <w:tblW w:w="9639" w:type="dxa"/>
      </w:tblPr>
      <w:tblGrid>
        <w:gridCol w:w="9639"/>
      </w:tblGrid>
      <w:tr>
        <w:trPr>
          <w:trHeight w:val="125" w:hRule="exact"/>
        </w:trPr>
        <w:tc>
          <w:tcPr>
            <w:tcW w:type="dxa" w:w="9638"/>
            <w:shd w:val="clear" w:color="auto" w:fill="00A676"/>
          </w:tcPr>
          <w:p>
            <w:pPr>
              <w:spacing w:after="0"/>
            </w:pPr>
            <w:r>
              <w:rPr>
                <w:sz w:val="2"/>
              </w:rPr>
            </w:r>
          </w:p>
        </w:tc>
      </w:tr>
    </w:tbl>
    <w:p>
      <w:pPr>
        <w:spacing w:after="280"/>
      </w:pPr>
    </w:p>
    <w:tbl>
      <w:tblPr>
        <w:jc w:val="center"/>
        <w:tblLayout w:type="fixed"/>
        <w:tblLook w:firstColumn="1" w:firstRow="1" w:lastColumn="0" w:lastRow="0" w:noHBand="0" w:noVBand="1" w:val="04A0"/>
        <w:tblLayout w:type="fixed"/>
        <w:tblW w:w="9639" w:type="dxa"/>
      </w:tblPr>
      <w:tblGrid>
        <w:gridCol w:w="2381"/>
        <w:gridCol w:w="7257"/>
      </w:tblGrid>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RÉFÉRENCE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TTG-GT-02-C04</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VERSION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v1.0 — Projet</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DATE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Octobre 2026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STATUT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Projet provisoire — à valider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DIFFUSION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Diffusion contrôlée — prospects, clients et partenaires</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ENTREPRISE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TechnologyTrade Group — République du Congo (Congo-Brazzaville)</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DIRIGEANT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Daril Roslain KINGUENGA (mention à vérifier avant tout usage officiel)</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ÉTABLI POUR</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Prospects, clients et partenaires — après validation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VALIDATION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color w:val="8A5A00"/>
                <w:sz w:val="18"/>
                <w:shd w:val="clear" w:color="auto" w:fill="FFF4D6"/>
              </w:rPr>
              <w:t>[À compléter : nom, fonction, date de validation]</w:t>
            </w:r>
          </w:p>
        </w:tc>
      </w:tr>
    </w:tbl>
    <w:p>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pPr>
        <w:spacing w:before="160"/>
      </w:pPr>
      <w:r>
        <w:rPr>
          <w:b/>
          <w:color w:val="0B5A45"/>
          <w:sz w:val="15"/>
          <w:spacing w:val="20"/>
        </w:rPr>
        <w:t>CONNECTING TECHNOLOGY. DRIVING TRADE. BUILDING AFRICA'S FUTURE.</w:t>
      </w:r>
    </w:p>
    <w:p>
      <w:pPr>
        <w:spacing w:after="0"/>
      </w:pPr>
      <w:r>
        <w:br w:type="page"/>
      </w:r>
    </w:p>
    <w:p>
      <w:pPr>
        <w:pStyle w:val="Heading1"/>
        <w:pBdr>
          <w:bottom w:val="single" w:sz="6" w:space="4" w:color="00A676"/>
        </w:pBdr>
      </w:pPr>
      <w:r>
        <w:t>1. Présentation de la catégorie</w:t>
      </w:r>
    </w:p>
    <w:p>
      <w:pPr>
        <w:spacing w:after="160"/>
      </w:pPr>
      <w:r>
        <w:rPr>
          <w:color w:val="063D2E"/>
          <w:sz w:val="22"/>
        </w:rPr>
        <w:t>Cette grille présente les prestations de la catégorie « Communication digitale et création de contenus », leurs contenus, livrables, tarifs indicatifs, délais et conditions.</w:t>
      </w:r>
    </w:p>
    <w:p>
      <w:r>
        <w:rPr>
          <w:b/>
        </w:rPr>
        <w:t>Public concerné.</w:t>
      </w:r>
      <w:r>
        <w:t xml:space="preserve"> Entreprises, ONG, institutions et indépendants qui veulent structurer et animer leur communication en ligne.</w:t>
      </w:r>
    </w:p>
    <w:p>
      <w:pPr>
        <w:pStyle w:val="Heading2"/>
      </w:pPr>
      <w:r>
        <w:t>Comment choisir</w:t>
      </w:r>
    </w:p>
    <w:p>
      <w:pPr>
        <w:pStyle w:val="ListBullet"/>
      </w:pPr>
      <w:r>
        <w:t xml:space="preserve">Définir la ligne de communication : </w:t>
      </w:r>
      <w:r>
        <w:rPr>
          <w:b/>
        </w:rPr>
        <w:t>CD01</w:t>
      </w:r>
      <w:r>
        <w:t>.</w:t>
      </w:r>
    </w:p>
    <w:p>
      <w:pPr>
        <w:pStyle w:val="ListBullet"/>
      </w:pPr>
      <w:r>
        <w:t xml:space="preserve">Animer les réseaux sociaux au quotidien : </w:t>
      </w:r>
      <w:r>
        <w:rPr>
          <w:b/>
        </w:rPr>
        <w:t>CD02</w:t>
      </w:r>
      <w:r>
        <w:t xml:space="preserve"> (mensuel).</w:t>
      </w:r>
    </w:p>
    <w:p>
      <w:pPr>
        <w:pStyle w:val="ListBullet"/>
      </w:pPr>
      <w:r>
        <w:t xml:space="preserve">Alimenter en contenus : </w:t>
      </w:r>
      <w:r>
        <w:rPr>
          <w:b/>
        </w:rPr>
        <w:t>CD03</w:t>
      </w:r>
      <w:r>
        <w:t xml:space="preserve"> (pack) ; promouvoir : </w:t>
      </w:r>
      <w:r>
        <w:rPr>
          <w:b/>
        </w:rPr>
        <w:t>CD04</w:t>
      </w:r>
      <w:r>
        <w:t xml:space="preserve"> (campagnes) ; raconter en vidéo : </w:t>
      </w:r>
      <w:r>
        <w:rPr>
          <w:b/>
        </w:rPr>
        <w:t>CD05</w:t>
      </w:r>
      <w:r>
        <w:t>.</w:t>
      </w:r>
    </w:p>
    <w:tbl>
      <w:tblPr>
        <w:jc w:val="center"/>
        <w:tblLayout w:type="fixed"/>
        <w:tblLook w:firstColumn="1" w:firstRow="1" w:lastColumn="0" w:lastRow="0" w:noHBand="0" w:noVBand="1" w:val="04A0"/>
        <w:tblLayout w:type="fixed"/>
        <w:tblW w:w="9639" w:type="dxa"/>
      </w:tblPr>
      <w:tblGrid>
        <w:gridCol w:w="9639"/>
      </w:tblGrid>
      <w:tr>
        <w:trPr>
          <w:cantSplit/>
        </w:trPr>
        <w:tc>
          <w:tcPr>
            <w:tcW w:type="dxa" w:w="9638"/>
            <w:shd w:val="clear" w:color="auto" w:fill="FFF4D6"/>
            <w:tcMar>
              <w:top w:w="110" w:type="dxa"/>
              <w:left w:w="180" w:type="dxa"/>
              <w:bottom w:w="110" w:type="dxa"/>
              <w:right w:w="160" w:type="dxa"/>
            </w:tcMar>
            <w:tcBorders>
              <w:top w:val="nil"/>
              <w:left w:val="single" w:sz="24" w:space="0" w:color="D99A00"/>
              <w:bottom w:val="nil"/>
              <w:right w:val="nil"/>
            </w:tcBorders>
          </w:tcPr>
          <w:p>
            <w:pPr>
              <w:pStyle w:val="TTGCell"/>
              <w:spacing w:after="40"/>
            </w:pPr>
            <w:r>
              <w:rPr>
                <w:b/>
                <w:color w:val="8A5A00"/>
                <w:sz w:val="18"/>
              </w:rPr>
              <w:t>Statut des tarifs : provisoire</w:t>
            </w:r>
          </w:p>
          <w:p>
            <w:pPr>
              <w:pStyle w:val="TTGCell"/>
            </w:pPr>
            <w:r>
              <w:rPr>
                <w:sz w:val="18"/>
              </w:rPr>
              <w:t xml:space="preserve">Les prix de cette grille sont des </w:t>
            </w:r>
            <w:r>
              <w:rPr>
                <w:b/>
                <w:sz w:val="18"/>
              </w:rPr>
              <w:t>propositions de travail</w:t>
            </w:r>
            <w:r>
              <w:rPr>
                <w:sz w:val="18"/>
              </w:rPr>
              <w:t xml:space="preserve"> à valider par la direction de TechnologyTrade Group. Ils sont indicatifs, exprimés en FCFA hors taxes, et ne remplacent pas le devis.</w:t>
            </w:r>
          </w:p>
        </w:tc>
      </w:tr>
    </w:tbl>
    <w:p>
      <w:pPr>
        <w:spacing w:after="100"/>
      </w:pPr>
    </w:p>
    <w:p>
      <w:pPr>
        <w:pStyle w:val="Heading1"/>
        <w:pBdr>
          <w:bottom w:val="single" w:sz="6" w:space="4" w:color="00A676"/>
        </w:pBdr>
      </w:pPr>
      <w:r>
        <w:t>2. Vue d’ensemble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7"/>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7"/>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7"/>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CD01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Stratégie de communication digitale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350 000 – 675 000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2 à 3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CD02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Gestion des réseaux sociaux (mensuel)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275 000 – 550 000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Démarrage sous 1 semaine ; engagement de 3 mois minimum</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CD03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Pack de contenus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250 000 – 525 000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100 % à la commande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CD04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Gestion de campagnes publicitaires en ligne (mensuel)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225 000 – 450 000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Démarrage sous 1 semaine ; engagement de 3 mois minimum</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Mensuel d’avance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CD05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Vidéo courte et animation graphique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575 000 – 1 150 000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3 à 4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50 % / 50 % (75 / 25 possible)</w:t>
            </w:r>
          </w:p>
        </w:tc>
      </w:tr>
    </w:tbl>
    <w:p>
      <w:pPr>
        <w:spacing w:after="80"/>
      </w:pPr>
    </w:p>
    <w:p>
      <w:pPr>
        <w:spacing w:after="0"/>
      </w:pPr>
      <w:r>
        <w:br w:type="page"/>
      </w:r>
    </w:p>
    <w:p>
      <w:pPr>
        <w:pStyle w:val="Heading1"/>
        <w:pBdr>
          <w:bottom w:val="single" w:sz="6" w:space="4" w:color="00A676"/>
        </w:pBdr>
      </w:pPr>
      <w:r>
        <w:t>3. Fiches détaillées des offres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CD01   </w:t>
            </w:r>
            <w:r>
              <w:rPr>
                <w:b/>
                <w:color w:val="FFFFFF"/>
                <w:sz w:val="20"/>
              </w:rPr>
              <w:t>Stratégie de communication digitale</w:t>
            </w:r>
            <w:r>
              <w:rPr>
                <w:b/>
                <w:color w:val="FFFFFF"/>
                <w:sz w:val="19"/>
              </w:rPr>
              <w:tab/>
              <w:t>350 000 – 675 000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Plan de communication sur 3 mois : cibles, messages, canaux, calendrier éditorial et indicateurs.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Audit de la présence existante</w:t>
            </w:r>
          </w:p>
          <w:p>
            <w:pPr>
              <w:pStyle w:val="TTGCell"/>
              <w:keepNext/>
              <w:keepLines/>
              <w:ind w:left="170" w:hanging="170"/>
            </w:pPr>
            <w:r>
              <w:rPr>
                <w:b/>
                <w:color w:val="00A676"/>
                <w:sz w:val="16"/>
              </w:rPr>
              <w:t xml:space="preserve">• </w:t>
            </w:r>
            <w:r>
              <w:rPr>
                <w:sz w:val="16"/>
              </w:rPr>
              <w:t>Cibles et messages clés</w:t>
            </w:r>
          </w:p>
          <w:p>
            <w:pPr>
              <w:pStyle w:val="TTGCell"/>
              <w:keepNext/>
              <w:keepLines/>
              <w:ind w:left="170" w:hanging="170"/>
            </w:pPr>
            <w:r>
              <w:rPr>
                <w:b/>
                <w:color w:val="00A676"/>
                <w:sz w:val="16"/>
              </w:rPr>
              <w:t xml:space="preserve">• </w:t>
            </w:r>
            <w:r>
              <w:rPr>
                <w:sz w:val="16"/>
              </w:rPr>
              <w:t>Choix des canaux</w:t>
            </w:r>
          </w:p>
          <w:p>
            <w:pPr>
              <w:pStyle w:val="TTGCell"/>
              <w:keepNext/>
              <w:keepLines/>
              <w:ind w:left="170" w:hanging="170"/>
            </w:pPr>
            <w:r>
              <w:rPr>
                <w:b/>
                <w:color w:val="00A676"/>
                <w:sz w:val="16"/>
              </w:rPr>
              <w:t xml:space="preserve">• </w:t>
            </w:r>
            <w:r>
              <w:rPr>
                <w:sz w:val="16"/>
              </w:rPr>
              <w:t>Calendrier éditorial sur 3 mois</w:t>
            </w:r>
          </w:p>
          <w:p>
            <w:pPr>
              <w:pStyle w:val="TTGCell"/>
              <w:keepNext/>
              <w:keepLines/>
              <w:ind w:left="170" w:hanging="170"/>
            </w:pPr>
            <w:r>
              <w:rPr>
                <w:b/>
                <w:color w:val="00A676"/>
                <w:sz w:val="16"/>
              </w:rPr>
              <w:t xml:space="preserve">• </w:t>
            </w:r>
            <w:r>
              <w:rPr>
                <w:sz w:val="16"/>
              </w:rPr>
              <w:t>Indicateurs de suivi</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Plan de communication (document)</w:t>
            </w:r>
          </w:p>
          <w:p>
            <w:pPr>
              <w:pStyle w:val="TTGCell"/>
              <w:keepNext/>
              <w:keepLines/>
              <w:ind w:left="170" w:hanging="170"/>
            </w:pPr>
            <w:r>
              <w:rPr>
                <w:b/>
                <w:color w:val="00A676"/>
                <w:sz w:val="16"/>
              </w:rPr>
              <w:t xml:space="preserve">• </w:t>
            </w:r>
            <w:r>
              <w:rPr>
                <w:sz w:val="16"/>
              </w:rPr>
              <w:t>Calendrier éditorial modifiable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Production des contenus</w:t>
            </w:r>
          </w:p>
          <w:p>
            <w:pPr>
              <w:pStyle w:val="TTGCell"/>
              <w:keepNext w:val="0"/>
              <w:keepLines/>
              <w:ind w:left="170" w:hanging="170"/>
            </w:pPr>
            <w:r>
              <w:rPr>
                <w:b/>
                <w:color w:val="00A676"/>
                <w:sz w:val="16"/>
              </w:rPr>
              <w:t xml:space="preserve">• </w:t>
            </w:r>
            <w:r>
              <w:rPr>
                <w:sz w:val="16"/>
              </w:rPr>
              <w:t>Gestion des comptes</w:t>
            </w:r>
          </w:p>
          <w:p>
            <w:pPr>
              <w:pStyle w:val="TTGCell"/>
              <w:keepNext w:val="0"/>
              <w:keepLines/>
              <w:ind w:left="170" w:hanging="170"/>
            </w:pPr>
            <w:r>
              <w:rPr>
                <w:b/>
                <w:color w:val="00A676"/>
                <w:sz w:val="16"/>
              </w:rPr>
              <w:t xml:space="preserve">• </w:t>
            </w:r>
            <w:r>
              <w:rPr>
                <w:sz w:val="16"/>
              </w:rPr>
              <w:t>Achat d’espaces publicitaires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canaux</w:t>
            </w:r>
          </w:p>
          <w:p>
            <w:pPr>
              <w:pStyle w:val="TTGCell"/>
              <w:keepNext w:val="0"/>
              <w:keepLines/>
              <w:ind w:left="170" w:hanging="170"/>
            </w:pPr>
            <w:r>
              <w:rPr>
                <w:b/>
                <w:color w:val="00A676"/>
                <w:sz w:val="16"/>
              </w:rPr>
              <w:t xml:space="preserve">• </w:t>
            </w:r>
            <w:r>
              <w:rPr>
                <w:sz w:val="16"/>
              </w:rPr>
              <w:t>Nombre de cibles</w:t>
            </w:r>
          </w:p>
          <w:p>
            <w:pPr>
              <w:pStyle w:val="TTGCell"/>
              <w:keepNext w:val="0"/>
              <w:keepLines/>
              <w:ind w:left="170" w:hanging="170"/>
            </w:pPr>
            <w:r>
              <w:rPr>
                <w:b/>
                <w:color w:val="00A676"/>
                <w:sz w:val="16"/>
              </w:rPr>
              <w:t xml:space="preserve">• </w:t>
            </w:r>
            <w:r>
              <w:rPr>
                <w:sz w:val="16"/>
              </w:rPr>
              <w:t>Concurrence à analyser</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CD02   </w:t>
            </w:r>
            <w:r>
              <w:rPr>
                <w:b/>
                <w:color w:val="FFFFFF"/>
                <w:sz w:val="20"/>
              </w:rPr>
              <w:t>Gestion des réseaux sociaux (mensuel)</w:t>
            </w:r>
            <w:r>
              <w:rPr>
                <w:b/>
                <w:color w:val="FFFFFF"/>
                <w:sz w:val="19"/>
              </w:rPr>
              <w:tab/>
              <w:t>275 000 – 550 000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Animation mensuelle de deux réseaux sociaux : publications, réponses et rapport d’activité.</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12 publications par mois sur 2 réseaux</w:t>
            </w:r>
          </w:p>
          <w:p>
            <w:pPr>
              <w:pStyle w:val="TTGCell"/>
              <w:keepNext/>
              <w:keepLines/>
              <w:ind w:left="170" w:hanging="170"/>
            </w:pPr>
            <w:r>
              <w:rPr>
                <w:b/>
                <w:color w:val="00A676"/>
                <w:sz w:val="16"/>
              </w:rPr>
              <w:t xml:space="preserve">• </w:t>
            </w:r>
            <w:r>
              <w:rPr>
                <w:sz w:val="16"/>
              </w:rPr>
              <w:t>Création des visuels à partir de la charte</w:t>
            </w:r>
          </w:p>
          <w:p>
            <w:pPr>
              <w:pStyle w:val="TTGCell"/>
              <w:keepNext/>
              <w:keepLines/>
              <w:ind w:left="170" w:hanging="170"/>
            </w:pPr>
            <w:r>
              <w:rPr>
                <w:b/>
                <w:color w:val="00A676"/>
                <w:sz w:val="16"/>
              </w:rPr>
              <w:t xml:space="preserve">• </w:t>
            </w:r>
            <w:r>
              <w:rPr>
                <w:sz w:val="16"/>
              </w:rPr>
              <w:t>Modération et réponses aux messages (jours ouvrés)</w:t>
            </w:r>
          </w:p>
          <w:p>
            <w:pPr>
              <w:pStyle w:val="TTGCell"/>
              <w:keepNext/>
              <w:keepLines/>
              <w:ind w:left="170" w:hanging="170"/>
            </w:pPr>
            <w:r>
              <w:rPr>
                <w:b/>
                <w:color w:val="00A676"/>
                <w:sz w:val="16"/>
              </w:rPr>
              <w:t xml:space="preserve">• </w:t>
            </w:r>
            <w:r>
              <w:rPr>
                <w:sz w:val="16"/>
              </w:rPr>
              <w:t>Rapport mensuel</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Publications programmées</w:t>
            </w:r>
          </w:p>
          <w:p>
            <w:pPr>
              <w:pStyle w:val="TTGCell"/>
              <w:keepNext/>
              <w:keepLines/>
              <w:ind w:left="170" w:hanging="170"/>
            </w:pPr>
            <w:r>
              <w:rPr>
                <w:b/>
                <w:color w:val="00A676"/>
                <w:sz w:val="16"/>
              </w:rPr>
              <w:t xml:space="preserve">• </w:t>
            </w:r>
            <w:r>
              <w:rPr>
                <w:sz w:val="16"/>
              </w:rPr>
              <w:t>Rapport mensuel</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 ; engagement de 3 mois minimum</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Publicité payante (budget média à part)</w:t>
            </w:r>
          </w:p>
          <w:p>
            <w:pPr>
              <w:pStyle w:val="TTGCell"/>
              <w:keepNext w:val="0"/>
              <w:keepLines/>
              <w:ind w:left="170" w:hanging="170"/>
            </w:pPr>
            <w:r>
              <w:rPr>
                <w:b/>
                <w:color w:val="00A676"/>
                <w:sz w:val="16"/>
              </w:rPr>
              <w:t xml:space="preserve">• </w:t>
            </w:r>
            <w:r>
              <w:rPr>
                <w:sz w:val="16"/>
              </w:rPr>
              <w:t>Production vidéo</w:t>
            </w:r>
          </w:p>
          <w:p>
            <w:pPr>
              <w:pStyle w:val="TTGCell"/>
              <w:keepNext w:val="0"/>
              <w:keepLines/>
              <w:ind w:left="170" w:hanging="170"/>
            </w:pPr>
            <w:r>
              <w:rPr>
                <w:b/>
                <w:color w:val="00A676"/>
                <w:sz w:val="16"/>
              </w:rPr>
              <w:t xml:space="preserve">• </w:t>
            </w:r>
            <w:r>
              <w:rPr>
                <w:sz w:val="16"/>
              </w:rPr>
              <w:t>Gestion de crise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réseaux</w:t>
            </w:r>
          </w:p>
          <w:p>
            <w:pPr>
              <w:pStyle w:val="TTGCell"/>
              <w:keepNext w:val="0"/>
              <w:keepLines/>
              <w:ind w:left="170" w:hanging="170"/>
            </w:pPr>
            <w:r>
              <w:rPr>
                <w:b/>
                <w:color w:val="00A676"/>
                <w:sz w:val="16"/>
              </w:rPr>
              <w:t xml:space="preserve">• </w:t>
            </w:r>
            <w:r>
              <w:rPr>
                <w:sz w:val="16"/>
              </w:rPr>
              <w:t>Fréquence de publication</w:t>
            </w:r>
          </w:p>
          <w:p>
            <w:pPr>
              <w:pStyle w:val="TTGCell"/>
              <w:keepNext w:val="0"/>
              <w:keepLines/>
              <w:ind w:left="170" w:hanging="170"/>
            </w:pPr>
            <w:r>
              <w:rPr>
                <w:b/>
                <w:color w:val="00A676"/>
                <w:sz w:val="16"/>
              </w:rPr>
              <w:t xml:space="preserve">• </w:t>
            </w:r>
            <w:r>
              <w:rPr>
                <w:sz w:val="16"/>
              </w:rPr>
              <w:t>Langues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CD03   </w:t>
            </w:r>
            <w:r>
              <w:rPr>
                <w:b/>
                <w:color w:val="FFFFFF"/>
                <w:sz w:val="20"/>
              </w:rPr>
              <w:t>Pack de contenus</w:t>
            </w:r>
            <w:r>
              <w:rPr>
                <w:b/>
                <w:color w:val="FFFFFF"/>
                <w:sz w:val="19"/>
              </w:rPr>
              <w:tab/>
              <w:t>250 000 – 525 000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Production d’un lot de contenus : 10 visuels, 4 textes de 400 mots et 1 article.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10 visuels pour réseaux sociaux ou site</w:t>
            </w:r>
          </w:p>
          <w:p>
            <w:pPr>
              <w:pStyle w:val="TTGCell"/>
              <w:keepNext/>
              <w:keepLines/>
              <w:ind w:left="170" w:hanging="170"/>
            </w:pPr>
            <w:r>
              <w:rPr>
                <w:b/>
                <w:color w:val="00A676"/>
                <w:sz w:val="16"/>
              </w:rPr>
              <w:t xml:space="preserve">• </w:t>
            </w:r>
            <w:r>
              <w:rPr>
                <w:sz w:val="16"/>
              </w:rPr>
              <w:t>4 textes de 400 mots</w:t>
            </w:r>
          </w:p>
          <w:p>
            <w:pPr>
              <w:pStyle w:val="TTGCell"/>
              <w:keepNext/>
              <w:keepLines/>
              <w:ind w:left="170" w:hanging="170"/>
            </w:pPr>
            <w:r>
              <w:rPr>
                <w:b/>
                <w:color w:val="00A676"/>
                <w:sz w:val="16"/>
              </w:rPr>
              <w:t xml:space="preserve">• </w:t>
            </w:r>
            <w:r>
              <w:rPr>
                <w:sz w:val="16"/>
              </w:rPr>
              <w:t>1 article de blog optimisé</w:t>
            </w:r>
          </w:p>
          <w:p>
            <w:pPr>
              <w:pStyle w:val="TTGCell"/>
              <w:keepNext/>
              <w:keepLines/>
              <w:ind w:left="170" w:hanging="170"/>
            </w:pPr>
            <w:r>
              <w:rPr>
                <w:b/>
                <w:color w:val="00A676"/>
                <w:sz w:val="16"/>
              </w:rPr>
              <w:t xml:space="preserve">• </w:t>
            </w:r>
            <w:r>
              <w:rPr>
                <w:sz w:val="16"/>
              </w:rPr>
              <w:t>Un cycle de corrections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Fichiers de visuels</w:t>
            </w:r>
          </w:p>
          <w:p>
            <w:pPr>
              <w:pStyle w:val="TTGCell"/>
              <w:keepNext/>
              <w:keepLines/>
              <w:ind w:left="170" w:hanging="170"/>
            </w:pPr>
            <w:r>
              <w:rPr>
                <w:b/>
                <w:color w:val="00A676"/>
                <w:sz w:val="16"/>
              </w:rPr>
              <w:t xml:space="preserve">• </w:t>
            </w:r>
            <w:r>
              <w:rPr>
                <w:sz w:val="16"/>
              </w:rPr>
              <w:t>Textes remis en document modifiable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Publication des contenus</w:t>
            </w:r>
          </w:p>
          <w:p>
            <w:pPr>
              <w:pStyle w:val="TTGCell"/>
              <w:keepNext w:val="0"/>
              <w:keepLines/>
              <w:ind w:left="170" w:hanging="170"/>
            </w:pPr>
            <w:r>
              <w:rPr>
                <w:b/>
                <w:color w:val="00A676"/>
                <w:sz w:val="16"/>
              </w:rPr>
              <w:t xml:space="preserve">• </w:t>
            </w:r>
            <w:r>
              <w:rPr>
                <w:sz w:val="16"/>
              </w:rPr>
              <w:t>Photographie</w:t>
            </w:r>
          </w:p>
          <w:p>
            <w:pPr>
              <w:pStyle w:val="TTGCell"/>
              <w:keepNext w:val="0"/>
              <w:keepLines/>
              <w:ind w:left="170" w:hanging="170"/>
            </w:pPr>
            <w:r>
              <w:rPr>
                <w:b/>
                <w:color w:val="00A676"/>
                <w:sz w:val="16"/>
              </w:rPr>
              <w:t xml:space="preserve">• </w:t>
            </w:r>
            <w:r>
              <w:rPr>
                <w:sz w:val="16"/>
              </w:rPr>
              <w:t>Traduction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w:t>
            </w:r>
          </w:p>
          <w:p>
            <w:pPr>
              <w:pStyle w:val="TTGCell"/>
              <w:keepNext w:val="0"/>
              <w:keepLines/>
              <w:ind w:left="170" w:hanging="170"/>
            </w:pPr>
            <w:r>
              <w:rPr>
                <w:b/>
                <w:color w:val="00A676"/>
                <w:sz w:val="16"/>
              </w:rPr>
              <w:t xml:space="preserve">• </w:t>
            </w:r>
            <w:r>
              <w:rPr>
                <w:sz w:val="16"/>
              </w:rPr>
              <w:t>Complexité des sujets</w:t>
            </w:r>
          </w:p>
          <w:p>
            <w:pPr>
              <w:pStyle w:val="TTGCell"/>
              <w:keepNext w:val="0"/>
              <w:keepLines/>
              <w:ind w:left="170" w:hanging="170"/>
            </w:pPr>
            <w:r>
              <w:rPr>
                <w:b/>
                <w:color w:val="00A676"/>
                <w:sz w:val="16"/>
              </w:rPr>
              <w:t xml:space="preserve">• </w:t>
            </w:r>
            <w:r>
              <w:rPr>
                <w:sz w:val="16"/>
              </w:rPr>
              <w:t>Documentation fournie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CD04   </w:t>
            </w:r>
            <w:r>
              <w:rPr>
                <w:b/>
                <w:color w:val="FFFFFF"/>
                <w:sz w:val="20"/>
              </w:rPr>
              <w:t>Gestion de campagnes publicitaires en ligne (mensuel)</w:t>
            </w:r>
            <w:r>
              <w:rPr>
                <w:b/>
                <w:color w:val="FFFFFF"/>
                <w:sz w:val="19"/>
              </w:rPr>
              <w:tab/>
              <w:t>225 000 – 450 000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Préparation, lancement, suivi et optimisation de campagnes publicitaires en ligne.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Définition des objectifs et des cibles</w:t>
            </w:r>
          </w:p>
          <w:p>
            <w:pPr>
              <w:pStyle w:val="TTGCell"/>
              <w:keepNext/>
              <w:keepLines/>
              <w:ind w:left="170" w:hanging="170"/>
            </w:pPr>
            <w:r>
              <w:rPr>
                <w:b/>
                <w:color w:val="00A676"/>
                <w:sz w:val="16"/>
              </w:rPr>
              <w:t xml:space="preserve">• </w:t>
            </w:r>
            <w:r>
              <w:rPr>
                <w:sz w:val="16"/>
              </w:rPr>
              <w:t>Création des annonces</w:t>
            </w:r>
          </w:p>
          <w:p>
            <w:pPr>
              <w:pStyle w:val="TTGCell"/>
              <w:keepNext/>
              <w:keepLines/>
              <w:ind w:left="170" w:hanging="170"/>
            </w:pPr>
            <w:r>
              <w:rPr>
                <w:b/>
                <w:color w:val="00A676"/>
                <w:sz w:val="16"/>
              </w:rPr>
              <w:t xml:space="preserve">• </w:t>
            </w:r>
            <w:r>
              <w:rPr>
                <w:sz w:val="16"/>
              </w:rPr>
              <w:t>Suivi et optimisation hebdomadaires</w:t>
            </w:r>
          </w:p>
          <w:p>
            <w:pPr>
              <w:pStyle w:val="TTGCell"/>
              <w:keepNext/>
              <w:keepLines/>
              <w:ind w:left="170" w:hanging="170"/>
            </w:pPr>
            <w:r>
              <w:rPr>
                <w:b/>
                <w:color w:val="00A676"/>
                <w:sz w:val="16"/>
              </w:rPr>
              <w:t xml:space="preserve">• </w:t>
            </w:r>
            <w:r>
              <w:rPr>
                <w:sz w:val="16"/>
              </w:rPr>
              <w:t>Rapport mensuel</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Campagnes actives</w:t>
            </w:r>
          </w:p>
          <w:p>
            <w:pPr>
              <w:pStyle w:val="TTGCell"/>
              <w:keepNext/>
              <w:keepLines/>
              <w:ind w:left="170" w:hanging="170"/>
            </w:pPr>
            <w:r>
              <w:rPr>
                <w:b/>
                <w:color w:val="00A676"/>
                <w:sz w:val="16"/>
              </w:rPr>
              <w:t xml:space="preserve">• </w:t>
            </w:r>
            <w:r>
              <w:rPr>
                <w:sz w:val="16"/>
              </w:rPr>
              <w:t>Rapport mensuel</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Démarrage sous 1 semaine ; engagement de 3 mois minimum</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Mensualité payable d’avance en début de mois. Engagement initial de 12 mois, reconductible.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Budget média (payé directement aux plateformes)</w:t>
            </w:r>
          </w:p>
          <w:p>
            <w:pPr>
              <w:pStyle w:val="TTGCell"/>
              <w:keepNext w:val="0"/>
              <w:keepLines/>
              <w:ind w:left="170" w:hanging="170"/>
            </w:pPr>
            <w:r>
              <w:rPr>
                <w:b/>
                <w:color w:val="00A676"/>
                <w:sz w:val="16"/>
              </w:rPr>
              <w:t xml:space="preserve">• </w:t>
            </w:r>
            <w:r>
              <w:rPr>
                <w:sz w:val="16"/>
              </w:rPr>
              <w:t>Création vidéo</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campagnes</w:t>
            </w:r>
          </w:p>
          <w:p>
            <w:pPr>
              <w:pStyle w:val="TTGCell"/>
              <w:keepNext w:val="0"/>
              <w:keepLines/>
              <w:ind w:left="170" w:hanging="170"/>
            </w:pPr>
            <w:r>
              <w:rPr>
                <w:b/>
                <w:color w:val="00A676"/>
                <w:sz w:val="16"/>
              </w:rPr>
              <w:t xml:space="preserve">• </w:t>
            </w:r>
            <w:r>
              <w:rPr>
                <w:sz w:val="16"/>
              </w:rPr>
              <w:t>Budget média géré</w:t>
            </w:r>
          </w:p>
          <w:p>
            <w:pPr>
              <w:pStyle w:val="TTGCell"/>
              <w:keepNext w:val="0"/>
              <w:keepLines/>
              <w:ind w:left="170" w:hanging="170"/>
            </w:pPr>
            <w:r>
              <w:rPr>
                <w:b/>
                <w:color w:val="00A676"/>
                <w:sz w:val="16"/>
              </w:rPr>
              <w:t xml:space="preserve">• </w:t>
            </w:r>
            <w:r>
              <w:rPr>
                <w:sz w:val="16"/>
              </w:rPr>
              <w:t>Nombre de cibles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CD05   </w:t>
            </w:r>
            <w:r>
              <w:rPr>
                <w:b/>
                <w:color w:val="FFFFFF"/>
                <w:sz w:val="20"/>
              </w:rPr>
              <w:t>Vidéo courte et animation graphique</w:t>
            </w:r>
            <w:r>
              <w:rPr>
                <w:b/>
                <w:color w:val="FFFFFF"/>
                <w:sz w:val="19"/>
              </w:rPr>
              <w:tab/>
              <w:t>575 000 – 1 150 000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Vidéo institutionnelle ou explicative de 60 secondes en animation graphique, à partir d’éléments existants.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Scénario et narration</w:t>
            </w:r>
          </w:p>
          <w:p>
            <w:pPr>
              <w:pStyle w:val="TTGCell"/>
              <w:keepNext/>
              <w:keepLines/>
              <w:ind w:left="170" w:hanging="170"/>
            </w:pPr>
            <w:r>
              <w:rPr>
                <w:b/>
                <w:color w:val="00A676"/>
                <w:sz w:val="16"/>
              </w:rPr>
              <w:t xml:space="preserve">• </w:t>
            </w:r>
            <w:r>
              <w:rPr>
                <w:sz w:val="16"/>
              </w:rPr>
              <w:t>Animation graphique (sans tournage)</w:t>
            </w:r>
          </w:p>
          <w:p>
            <w:pPr>
              <w:pStyle w:val="TTGCell"/>
              <w:keepNext/>
              <w:keepLines/>
              <w:ind w:left="170" w:hanging="170"/>
            </w:pPr>
            <w:r>
              <w:rPr>
                <w:b/>
                <w:color w:val="00A676"/>
                <w:sz w:val="16"/>
              </w:rPr>
              <w:t xml:space="preserve">• </w:t>
            </w:r>
            <w:r>
              <w:rPr>
                <w:sz w:val="16"/>
              </w:rPr>
              <w:t>Habillage sonore libre de droits</w:t>
            </w:r>
          </w:p>
          <w:p>
            <w:pPr>
              <w:pStyle w:val="TTGCell"/>
              <w:keepNext/>
              <w:keepLines/>
              <w:ind w:left="170" w:hanging="170"/>
            </w:pPr>
            <w:r>
              <w:rPr>
                <w:b/>
                <w:color w:val="00A676"/>
                <w:sz w:val="16"/>
              </w:rPr>
              <w:t xml:space="preserve">• </w:t>
            </w:r>
            <w:r>
              <w:rPr>
                <w:sz w:val="16"/>
              </w:rPr>
              <w:t>Deux versions de format (horizontal et vertical)</w:t>
            </w:r>
          </w:p>
          <w:p>
            <w:pPr>
              <w:pStyle w:val="TTGCell"/>
              <w:keepNext/>
              <w:keepLines/>
              <w:ind w:left="170" w:hanging="170"/>
            </w:pPr>
            <w:r>
              <w:rPr>
                <w:b/>
                <w:color w:val="00A676"/>
                <w:sz w:val="16"/>
              </w:rPr>
              <w:t xml:space="preserve">• </w:t>
            </w:r>
            <w:r>
              <w:rPr>
                <w:sz w:val="16"/>
              </w:rPr>
              <w:t>Un cycle de corrections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 vidéo</w:t>
            </w:r>
          </w:p>
          <w:p>
            <w:pPr>
              <w:pStyle w:val="TTGCell"/>
              <w:keepNext/>
              <w:keepLines/>
              <w:ind w:left="170" w:hanging="170"/>
            </w:pPr>
            <w:r>
              <w:rPr>
                <w:b/>
                <w:color w:val="00A676"/>
                <w:sz w:val="16"/>
              </w:rPr>
              <w:t xml:space="preserve">• </w:t>
            </w:r>
            <w:r>
              <w:rPr>
                <w:sz w:val="16"/>
              </w:rPr>
              <w:t>Versions réseaux sociaux</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Tournage et prises de vue</w:t>
            </w:r>
          </w:p>
          <w:p>
            <w:pPr>
              <w:pStyle w:val="TTGCell"/>
              <w:keepNext w:val="0"/>
              <w:keepLines/>
              <w:ind w:left="170" w:hanging="170"/>
            </w:pPr>
            <w:r>
              <w:rPr>
                <w:b/>
                <w:color w:val="00A676"/>
                <w:sz w:val="16"/>
              </w:rPr>
              <w:t xml:space="preserve">• </w:t>
            </w:r>
            <w:r>
              <w:rPr>
                <w:sz w:val="16"/>
              </w:rPr>
              <w:t>Voix off professionnelle (option)</w:t>
            </w:r>
          </w:p>
          <w:p>
            <w:pPr>
              <w:pStyle w:val="TTGCell"/>
              <w:keepNext w:val="0"/>
              <w:keepLines/>
              <w:ind w:left="170" w:hanging="170"/>
            </w:pPr>
            <w:r>
              <w:rPr>
                <w:b/>
                <w:color w:val="00A676"/>
                <w:sz w:val="16"/>
              </w:rPr>
              <w:t xml:space="preserve">• </w:t>
            </w:r>
            <w:r>
              <w:rPr>
                <w:sz w:val="16"/>
              </w:rPr>
              <w:t>Droits musicaux sur mesure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Durée</w:t>
            </w:r>
          </w:p>
          <w:p>
            <w:pPr>
              <w:pStyle w:val="TTGCell"/>
              <w:keepNext w:val="0"/>
              <w:keepLines/>
              <w:ind w:left="170" w:hanging="170"/>
            </w:pPr>
            <w:r>
              <w:rPr>
                <w:b/>
                <w:color w:val="00A676"/>
                <w:sz w:val="16"/>
              </w:rPr>
              <w:t xml:space="preserve">• </w:t>
            </w:r>
            <w:r>
              <w:rPr>
                <w:sz w:val="16"/>
              </w:rPr>
              <w:t>Complexité de l’animation</w:t>
            </w:r>
          </w:p>
          <w:p>
            <w:pPr>
              <w:pStyle w:val="TTGCell"/>
              <w:keepNext w:val="0"/>
              <w:keepLines/>
              <w:ind w:left="170" w:hanging="170"/>
            </w:pPr>
            <w:r>
              <w:rPr>
                <w:b/>
                <w:color w:val="00A676"/>
                <w:sz w:val="16"/>
              </w:rPr>
              <w:t xml:space="preserve">• </w:t>
            </w:r>
            <w:r>
              <w:rPr>
                <w:sz w:val="16"/>
              </w:rPr>
              <w:t>Nombre de versions</w:t>
            </w:r>
          </w:p>
        </w:tc>
      </w:tr>
    </w:tbl>
    <w:p>
      <w:pPr>
        <w:spacing w:after="140"/>
      </w:pPr>
    </w:p>
    <w:p>
      <w:pPr>
        <w:pStyle w:val="Heading1"/>
        <w:pBdr>
          <w:bottom w:val="single" w:sz="6" w:space="4" w:color="00A676"/>
        </w:pBdr>
      </w:pPr>
      <w:r>
        <w:t>4. Options applicables</w:t>
      </w:r>
    </w:p>
    <w:tbl>
      <w:tblPr>
        <w:jc w:val="center"/>
        <w:tblLayout w:type="fixed"/>
        <w:tblLook w:firstColumn="1" w:firstRow="1" w:lastColumn="0" w:lastRow="0" w:noHBand="0" w:noVBand="1" w:val="04A0"/>
        <w:tblLayout w:type="fixed"/>
        <w:tblW w:w="9639" w:type="dxa"/>
      </w:tblPr>
      <w:tblGrid>
        <w:gridCol w:w="850"/>
        <w:gridCol w:w="4706"/>
        <w:gridCol w:w="1927"/>
        <w:gridCol w:w="2154"/>
      </w:tblGrid>
      <w:tr>
        <w:trPr>
          <w:tblHeader w:val="true"/>
          <w:cantSplit/>
        </w:trPr>
        <w:tc>
          <w:tcPr>
            <w:tcW w:type="dxa" w:w="850"/>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706"/>
            <w:shd w:val="clear" w:color="auto" w:fill="0B5A45"/>
            <w:tcMar>
              <w:top w:w="70" w:type="dxa"/>
              <w:left w:w="90" w:type="dxa"/>
              <w:bottom w:w="70" w:type="dxa"/>
              <w:right w:w="90" w:type="dxa"/>
            </w:tcMar>
            <w:vAlign w:val="center"/>
          </w:tcPr>
          <w:p>
            <w:pPr>
              <w:pStyle w:val="TTGCell"/>
            </w:pPr>
            <w:r>
              <w:rPr>
                <w:b/>
                <w:color w:val="FFFFFF"/>
                <w:sz w:val="17"/>
              </w:rPr>
              <w:t>Option ou supplément</w:t>
            </w:r>
          </w:p>
        </w:tc>
        <w:tc>
          <w:tcPr>
            <w:tcW w:type="dxa" w:w="1928"/>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2154"/>
            <w:shd w:val="clear" w:color="auto" w:fill="0B5A45"/>
            <w:tcMar>
              <w:top w:w="70" w:type="dxa"/>
              <w:left w:w="90" w:type="dxa"/>
              <w:bottom w:w="70" w:type="dxa"/>
              <w:right w:w="90" w:type="dxa"/>
            </w:tcMar>
            <w:vAlign w:val="center"/>
          </w:tcPr>
          <w:p>
            <w:pPr>
              <w:pStyle w:val="TTGCell"/>
            </w:pPr>
            <w:r>
              <w:rPr>
                <w:b/>
                <w:color w:val="FFFFFF"/>
                <w:sz w:val="17"/>
              </w:rPr>
              <w:t>Unité ou condition</w:t>
            </w:r>
          </w:p>
        </w:tc>
      </w:tr>
      <w:tr>
        <w:trPr>
          <w:cantSplit/>
        </w:trPr>
        <w:tc>
          <w:tcPr>
            <w:tcW w:type="dxa" w:w="850"/>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OP03</w:t>
            </w:r>
          </w:p>
        </w:tc>
        <w:tc>
          <w:tcPr>
            <w:tcW w:type="dxa" w:w="4706"/>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Rédaction professionnelle de contenus</w:t>
            </w:r>
          </w:p>
        </w:tc>
        <w:tc>
          <w:tcPr>
            <w:tcW w:type="dxa" w:w="1928"/>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25 000 FCFA</w:t>
            </w:r>
          </w:p>
        </w:tc>
        <w:tc>
          <w:tcPr>
            <w:tcW w:type="dxa" w:w="215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par page de 300 mots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OP04</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Traduction français ↔ anglais</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15 000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page de 300 mots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OP10</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Cycle de corrections supplémentaire (design)</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60 000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cycle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OP11</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Délai accéléré (urgence, selon faisabilité)</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+25 % du montant HT</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OP12</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Déplacement hors Brazzaville</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frais réels justifiés + indemnité journalière à convenir</w:t>
            </w:r>
          </w:p>
        </w:tc>
      </w:tr>
    </w:tbl>
    <w:p>
      <w:pPr>
        <w:spacing w:after="80"/>
      </w:pPr>
    </w:p>
    <w:p>
      <w:r>
        <w:t>Les options sont facturées en sus de la prestation principale, sur la base d’un devis. Les prix sont indicatifs et provisoires.</w:t>
      </w:r>
    </w:p>
    <w:p>
      <w:pPr>
        <w:pStyle w:val="Heading1"/>
        <w:pBdr>
          <w:bottom w:val="single" w:sz="6" w:space="4" w:color="00A676"/>
        </w:pBdr>
      </w:pPr>
      <w:r>
        <w:t>5. Conditions spécifiques et éléments à valider</w:t>
      </w:r>
    </w:p>
    <w:p>
      <w:pPr>
        <w:pStyle w:val="Heading2"/>
      </w:pPr>
      <w:r>
        <w:t>Conditions générales applicables</w:t>
      </w:r>
    </w:p>
    <w:p>
      <w:pPr>
        <w:pStyle w:val="ListBullet"/>
      </w:pPr>
      <w:r>
        <w:t>Tous les prix sont exprimés en francs CFA (FCFA), hors taxes. Le régime et le taux de TVA applicables sont à confirmer avec l’administration fiscale ou un expert-comptable.</w:t>
      </w:r>
    </w:p>
    <w:p>
      <w:pPr>
        <w:pStyle w:val="ListBullet"/>
      </w:pPr>
      <w:r>
        <w:t xml:space="preserve">Les prix présentés sont des </w:t>
      </w:r>
      <w:r>
        <w:rPr>
          <w:b/>
        </w:rPr>
        <w:t>tarifs indicatifs</w:t>
      </w:r>
      <w:r>
        <w:t xml:space="preserve"> (propositions de travail provisoires). Le prix définitif est celui du devis signé par les deux parties.</w:t>
      </w:r>
    </w:p>
    <w:p>
      <w:pPr>
        <w:pStyle w:val="ListBullet"/>
      </w:pPr>
      <w:r>
        <w:t xml:space="preserve">Un devis détaillé, valable </w:t>
      </w:r>
      <w:r>
        <w:rPr>
          <w:color w:val="8A5A00"/>
          <w:shd w:val="clear" w:color="auto" w:fill="FFF4D6"/>
        </w:rPr>
        <w:t>[à compléter : 30]</w:t>
      </w:r>
      <w:r>
        <w:t xml:space="preserve"> jours, précise le périmètre, les livrables, le calendrier et les modalités de paiement.</w:t>
      </w:r>
    </w:p>
    <w:p>
      <w:pPr>
        <w:pStyle w:val="ListBullet"/>
      </w:pPr>
      <w:r>
        <w:t>Les modalités de paiement sont adaptées à chaque contrat. Un acompte de 75 % et un solde de 25 % peuvent être proposés pour un projet court, uniquement avec l’accord écrit des deux parties ; ce schéma n’est pas systématique.</w:t>
      </w:r>
    </w:p>
    <w:p>
      <w:pPr>
        <w:pStyle w:val="Heading2"/>
      </w:pPr>
      <w:r>
        <w:t>Éléments à valider avant engagement</w:t>
      </w:r>
    </w:p>
    <w:p>
      <w:pPr>
        <w:pStyle w:val="ListBullet"/>
      </w:pPr>
      <w:r>
        <w:t>Engagement minimal de 3 mois pour les prestations mensuelles (CD02, CD04).</w:t>
      </w:r>
    </w:p>
    <w:p>
      <w:pPr>
        <w:pStyle w:val="ListBullet"/>
      </w:pPr>
      <w:r>
        <w:t>Budget média (publicité payante) : payé directement aux plateformes par le client.</w:t>
      </w:r>
    </w:p>
    <w:p>
      <w:pPr>
        <w:pStyle w:val="ListBullet"/>
      </w:pPr>
      <w:r>
        <w:t>Droits sur les images, sons et modèles utilisés : licences à vérifier.</w:t>
      </w:r>
    </w:p>
    <w:tbl>
      <w:tblPr>
        <w:jc w:val="center"/>
        <w:tblLayout w:type="fixed"/>
        <w:tblLook w:firstColumn="1" w:firstRow="1" w:lastColumn="0" w:lastRow="0" w:noHBand="0" w:noVBand="1" w:val="04A0"/>
        <w:tblLayout w:type="fixed"/>
        <w:tblW w:w="9639" w:type="dxa"/>
      </w:tblPr>
      <w:tblGrid>
        <w:gridCol w:w="2608"/>
        <w:gridCol w:w="7031"/>
      </w:tblGrid>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Validité de la grille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date de validation et durée]</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Contact commercial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bl>
    <w:p>
      <w:pPr>
        <w:spacing w:after="80"/>
      </w:pPr>
    </w:p>
    <w:sectPr w:rsidR="00FC693F" w:rsidRPr="0006063C"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6" w:color="D5DBE2"/>
      </w:pBdr>
    </w:pPr>
    <w:r>
      <w:rPr>
        <w:color w:val="626262"/>
        <w:sz w:val="15"/>
      </w:rPr>
      <w:t xml:space="preserve">TechnologyTrade Group  ·  TTG-GT-02-C04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pBdr>
        <w:bottom w:val="single" w:sz="6" w:space="6" w:color="00A676"/>
      </w:pBdr>
    </w:pPr>
    <w:r>
      <w:drawing>
        <wp:inline xmlns:a="http://schemas.openxmlformats.org/drawingml/2006/main" xmlns:pic="http://schemas.openxmlformats.org/drawingml/2006/picture">
          <wp:extent cx="1207989" cy="378000"/>
          <wp:docPr id="1" name="Picture 1"/>
          <wp:cNvGraphicFramePr>
            <a:graphicFrameLocks noChangeAspect="1"/>
          </wp:cNvGraphicFramePr>
          <a:graphic>
            <a:graphicData uri="http://schemas.openxmlformats.org/drawingml/2006/picture">
              <pic:pic>
                <pic:nvPicPr>
                  <pic:cNvPr id="0" name="Logo_horizontal_couleur.png"/>
                  <pic:cNvPicPr/>
                </pic:nvPicPr>
                <pic:blipFill>
                  <a:blip r:embed="rId1"/>
                  <a:stretch>
                    <a:fillRect/>
                  </a:stretch>
                </pic:blipFill>
                <pic:spPr>
                  <a:xfrm>
                    <a:off x="0" y="0"/>
                    <a:ext cx="1207989" cy="378000"/>
                  </a:xfrm>
                  <a:prstGeom prst="rect"/>
                </pic:spPr>
              </pic:pic>
            </a:graphicData>
          </a:graphic>
        </wp:inline>
      </w:drawing>
    </w:r>
    <w:r>
      <w:rPr>
        <w:color w:val="626262"/>
        <w:sz w:val="15"/>
      </w:rPr>
      <w:tab/>
      <w:t>Grille tarifaire · catégorie 4 · Communication digitale et création de contenus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83" w:lineRule="auto"/>
    </w:pPr>
    <w:rPr>
      <w:rFonts w:ascii="Montserrat" w:hAnsi="Montserrat" w:cs="Montserrat" w:eastAsia="Montserrat"/>
      <w:color w:val="1E1E1E"/>
      <w:sz w:val="19"/>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Montserrat" w:hAnsi="Montserrat" w:cs="Montserrat" w:eastAsia="Montserrat"/>
      <w:b/>
      <w:bCs/>
      <w:i w:val="0"/>
      <w:color w:val="063D2E"/>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Montserrat" w:hAnsi="Montserrat" w:cs="Montserrat" w:eastAsia="Montserrat"/>
      <w:b/>
      <w:bCs/>
      <w:i w:val="0"/>
      <w:color w:val="0B5A45"/>
      <w:sz w:val="25"/>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Montserrat" w:hAnsi="Montserrat" w:cs="Montserrat" w:eastAsia="Montserrat"/>
      <w:b/>
      <w:bCs/>
      <w:i w:val="0"/>
      <w:color w:val="0B5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6" w:lineRule="auto"/>
      <w:contextualSpacing/>
    </w:pPr>
    <w:rPr>
      <w:rFonts w:ascii="Montserrat" w:hAnsi="Montserrat"/>
      <w:sz w:val="19"/>
    </w:rPr>
  </w:style>
  <w:style w:type="paragraph" w:styleId="ListBullet2">
    <w:name w:val="List Bullet 2"/>
    <w:basedOn w:val="Normal"/>
    <w:uiPriority w:val="99"/>
    <w:unhideWhenUsed/>
    <w:rsid w:val="00326F90"/>
    <w:pPr>
      <w:numPr>
        <w:numId w:val="2"/>
      </w:numPr>
      <w:spacing w:after="50" w:line="276" w:lineRule="auto"/>
      <w:contextualSpacing/>
    </w:pPr>
    <w:rPr>
      <w:rFonts w:ascii="Montserrat" w:hAnsi="Montserra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80" w:before="120"/>
      <w:ind w:left="0"/>
    </w:pPr>
    <w:rPr>
      <w:b/>
      <w:color w:val="063D2E"/>
      <w:sz w:val="20"/>
    </w:rPr>
  </w:style>
  <w:style w:type="paragraph" w:customStyle="1" w:styleId="TOC2">
    <w:name w:val="TOC 2"/>
    <w:basedOn w:val="Normal"/>
    <w:pPr>
      <w:spacing w:after="60" w:before="0"/>
      <w:ind w:left="340"/>
    </w:pPr>
    <w:rPr>
      <w:b w:val="0"/>
      <w:color w:val="1E1E1E"/>
      <w:sz w:val="18"/>
    </w:rPr>
  </w:style>
  <w:style w:type="paragraph" w:customStyle="1" w:styleId="TTGCell">
    <w:name w:val="TTG Cell"/>
    <w:basedOn w:val="Normal"/>
    <w:pPr>
      <w:spacing w:after="30" w:before="0" w:line="264"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 Communication digitale et création de contenus</dc:title>
  <dc:subject>Catégorie 4 sur 8 · tarifs indicatifs en FCFA, hors taxes</dc:subject>
  <dc:creator>TechnologyTrade Group</dc:creator>
  <cp:keywords>TTG-GT-02-C04</cp:keywords>
  <dc:description>Document modifiable — champs à compléter surlignés</dc:description>
  <cp:lastModifiedBy/>
  <cp:revision>1</cp:revision>
  <dcterms:created xsi:type="dcterms:W3CDTF">2013-12-23T23:15:00Z</dcterms:created>
  <dcterms:modified xsi:type="dcterms:W3CDTF">2013-12-23T23:15:00Z</dcterms:modified>
  <cp:category/>
  <dc:language>fr-FR</dc:language>
</cp:coreProperties>
</file>