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ayout w:type="fixed"/>
        <w:tblLook w:firstColumn="1" w:firstRow="1" w:lastColumn="0" w:lastRow="0" w:noHBand="0" w:noVBand="1" w:val="04A0"/>
        <w:tblLayout w:type="fixed"/>
        <w:tblW w:w="9639" w:type="dxa"/>
      </w:tblPr>
      <w:tblGrid>
        <w:gridCol w:w="9639"/>
      </w:tblGrid>
      <w:tr>
        <w:trPr>
          <w:trHeight w:val="6917" w:hRule="atLeast"/>
        </w:trPr>
        <w:tc>
          <w:tcPr>
            <w:tcW w:type="dxa" w:w="9638"/>
            <w:shd w:val="clear" w:color="auto" w:fill="063D2E"/>
            <w:tcMar>
              <w:top w:w="500" w:type="dxa"/>
              <w:left w:w="600" w:type="dxa"/>
              <w:bottom w:w="400" w:type="dxa"/>
              <w:right w:w="500" w:type="dxa"/>
            </w:tcMar>
            <w:vAlign w:val="top"/>
          </w:tcPr>
          <w:p>
            <w:pPr>
              <w:spacing w:after="1400"/>
            </w:pPr>
            <w:r>
              <w:drawing>
                <wp:inline xmlns:a="http://schemas.openxmlformats.org/drawingml/2006/main" xmlns:pic="http://schemas.openxmlformats.org/drawingml/2006/picture">
                  <wp:extent cx="2185885" cy="684000"/>
                  <wp:docPr id="1" name="Picture 1"/>
                  <wp:cNvGraphicFramePr>
                    <a:graphicFrameLocks noChangeAspect="1"/>
                  </wp:cNvGraphicFramePr>
                  <a:graphic>
                    <a:graphicData uri="http://schemas.openxmlformats.org/drawingml/2006/picture">
                      <pic:pic>
                        <pic:nvPicPr>
                          <pic:cNvPr id="0" name="Logo_horizontal_blanc.png"/>
                          <pic:cNvPicPr/>
                        </pic:nvPicPr>
                        <pic:blipFill>
                          <a:blip r:embed="rId11"/>
                          <a:stretch>
                            <a:fillRect/>
                          </a:stretch>
                        </pic:blipFill>
                        <pic:spPr>
                          <a:xfrm>
                            <a:off x="0" y="0"/>
                            <a:ext cx="2185885" cy="684000"/>
                          </a:xfrm>
                          <a:prstGeom prst="rect"/>
                        </pic:spPr>
                      </pic:pic>
                    </a:graphicData>
                  </a:graphic>
                </wp:inline>
              </w:drawing>
            </w:r>
          </w:p>
          <w:p>
            <w:pPr>
              <w:spacing w:after="200"/>
            </w:pPr>
            <w:r>
              <w:rPr>
                <w:b/>
                <w:color w:val="00A676"/>
                <w:sz w:val="20"/>
                <w:spacing w:val="40"/>
              </w:rPr>
              <w:t>GRILLE TARIFAIRE · CATÉGORIE 5</w:t>
            </w:r>
          </w:p>
          <w:p>
            <w:pPr>
              <w:spacing w:after="200" w:line="252" w:lineRule="auto"/>
            </w:pPr>
            <w:r>
              <w:rPr>
                <w:b/>
                <w:color w:val="FFFFFF"/>
                <w:sz w:val="56"/>
              </w:rPr>
              <w:t>Grille tarifaire — Intelligence artificielle et automatisation</w:t>
            </w:r>
          </w:p>
          <w:p>
            <w:pPr>
              <w:spacing w:after="0" w:line="288" w:lineRule="auto"/>
            </w:pPr>
            <w:r>
              <w:rPr>
                <w:color w:val="D9EFE7"/>
                <w:sz w:val="24"/>
              </w:rPr>
              <w:t>Catégorie 5 sur 8 · tarifs indicatifs en FCFA, hors taxes</w:t>
            </w:r>
          </w:p>
        </w:tc>
      </w:tr>
    </w:tbl>
    <w:tbl>
      <w:tblPr>
        <w:jc w:val="center"/>
        <w:tblLayout w:type="fixed"/>
        <w:tblLook w:firstColumn="1" w:firstRow="1" w:lastColumn="0" w:lastRow="0" w:noHBand="0" w:noVBand="1" w:val="04A0"/>
        <w:tblLayout w:type="fixed"/>
        <w:tblW w:w="9639" w:type="dxa"/>
      </w:tblPr>
      <w:tblGrid>
        <w:gridCol w:w="9639"/>
      </w:tblGrid>
      <w:tr>
        <w:trPr>
          <w:trHeight w:val="125" w:hRule="exact"/>
        </w:trPr>
        <w:tc>
          <w:tcPr>
            <w:tcW w:type="dxa" w:w="9638"/>
            <w:shd w:val="clear" w:color="auto" w:fill="00A676"/>
          </w:tcPr>
          <w:p>
            <w:pPr>
              <w:spacing w:after="0"/>
            </w:pPr>
            <w:r>
              <w:rPr>
                <w:sz w:val="2"/>
              </w:rPr>
            </w:r>
          </w:p>
        </w:tc>
      </w:tr>
    </w:tbl>
    <w:p>
      <w:pPr>
        <w:spacing w:after="280"/>
      </w:pPr>
    </w:p>
    <w:tbl>
      <w:tblPr>
        <w:jc w:val="center"/>
        <w:tblLayout w:type="fixed"/>
        <w:tblLook w:firstColumn="1" w:firstRow="1" w:lastColumn="0" w:lastRow="0" w:noHBand="0" w:noVBand="1" w:val="04A0"/>
        <w:tblLayout w:type="fixed"/>
        <w:tblW w:w="9639" w:type="dxa"/>
      </w:tblPr>
      <w:tblGrid>
        <w:gridCol w:w="2381"/>
        <w:gridCol w:w="7257"/>
      </w:tblGrid>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RÉFÉRENCE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TTG-GT-02-C05</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VERSION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v1.0 — Projet</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DATE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Octobre 2026</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STATUT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Projet provisoire — à valider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DIFFUSION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Diffusion contrôlée — prospects, clients et partenaires</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ENTREPRISE</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TechnologyTrade Group — République du Congo (Congo-Brazzaville)</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DIRIGEANT</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Daril Roslain KINGUENGA (mention à vérifier avant tout usage officiel)</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ÉTABLI POUR</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sz w:val="18"/>
              </w:rPr>
              <w:t>Prospects, clients et partenaires — après validation par la direction</w:t>
            </w:r>
          </w:p>
        </w:tc>
      </w:tr>
      <w:tr>
        <w:tc>
          <w:tcPr>
            <w:tcW w:type="dxa" w:w="2381"/>
            <w:tcMar>
              <w:top w:w="50" w:type="dxa"/>
              <w:left w:w="80" w:type="dxa"/>
              <w:bottom w:w="50" w:type="dxa"/>
              <w:right w:w="80" w:type="dxa"/>
            </w:tcMar>
            <w:tcBorders>
              <w:top w:val="nil"/>
              <w:left w:val="nil"/>
              <w:bottom w:val="single" w:sz="4" w:space="0" w:color="D5DBE2"/>
              <w:right w:val="nil"/>
            </w:tcBorders>
          </w:tcPr>
          <w:p>
            <w:pPr>
              <w:pStyle w:val="TTGCell"/>
            </w:pPr>
            <w:r>
              <w:rPr>
                <w:b/>
                <w:color w:val="0B5A45"/>
                <w:sz w:val="15"/>
              </w:rPr>
              <w:t>VALIDATION</w:t>
            </w:r>
          </w:p>
        </w:tc>
        <w:tc>
          <w:tcPr>
            <w:tcW w:type="dxa" w:w="7257"/>
            <w:tcMar>
              <w:top w:w="50" w:type="dxa"/>
              <w:left w:w="80" w:type="dxa"/>
              <w:bottom w:w="50" w:type="dxa"/>
              <w:right w:w="80" w:type="dxa"/>
            </w:tcMar>
            <w:tcBorders>
              <w:top w:val="nil"/>
              <w:left w:val="nil"/>
              <w:bottom w:val="single" w:sz="4" w:space="0" w:color="D5DBE2"/>
              <w:right w:val="nil"/>
            </w:tcBorders>
          </w:tcPr>
          <w:p>
            <w:pPr>
              <w:pStyle w:val="TTGCell"/>
            </w:pPr>
            <w:r>
              <w:rPr>
                <w:color w:val="8A5A00"/>
                <w:sz w:val="18"/>
                <w:shd w:val="clear" w:color="auto" w:fill="FFF4D6"/>
              </w:rPr>
              <w:t>[À compléter : nom, fonction, date de validation]</w:t>
            </w:r>
          </w:p>
        </w:tc>
      </w:tr>
    </w:tbl>
    <w:p>
      <w:pPr>
        <w:spacing w:before="440"/>
      </w:pPr>
      <w:r>
        <w:rPr>
          <w:i/>
          <w:color w:val="626262"/>
          <w:sz w:val="16"/>
        </w:rPr>
        <w:t>Les éléments juridiques, administratifs, financiers et tarifaires de ce document sont des propositions de travail. Ils sont présentés comme provisoires tant qu'ils n'ont pas été validés par la direction et, le cas échéant, par un professionnel compétent. Les champs surlignés sont à compléter.</w:t>
      </w:r>
    </w:p>
    <w:p>
      <w:pPr>
        <w:spacing w:before="160"/>
      </w:pPr>
      <w:r>
        <w:rPr>
          <w:b/>
          <w:color w:val="0B5A45"/>
          <w:sz w:val="15"/>
          <w:spacing w:val="20"/>
        </w:rPr>
        <w:t>CONNECTING TECHNOLOGY. DRIVING TRADE. BUILDING AFRICA'S FUTURE.</w:t>
      </w:r>
    </w:p>
    <w:p>
      <w:pPr>
        <w:spacing w:after="0"/>
      </w:pPr>
      <w:r>
        <w:br w:type="page"/>
      </w:r>
    </w:p>
    <w:p>
      <w:pPr>
        <w:pStyle w:val="Heading1"/>
        <w:pBdr>
          <w:bottom w:val="single" w:sz="6" w:space="4" w:color="00A676"/>
        </w:pBdr>
      </w:pPr>
      <w:r>
        <w:t>1. Présentation de la catégorie</w:t>
      </w:r>
    </w:p>
    <w:p>
      <w:pPr>
        <w:spacing w:after="160"/>
      </w:pPr>
      <w:r>
        <w:rPr>
          <w:color w:val="063D2E"/>
          <w:sz w:val="22"/>
        </w:rPr>
        <w:t>Cette grille présente les prestations de la catégorie « Intelligence artificielle et automatisation », leurs contenus, livrables, tarifs indicatifs, délais et conditions.</w:t>
      </w:r>
    </w:p>
    <w:p>
      <w:r>
        <w:rPr>
          <w:b/>
        </w:rPr>
        <w:t>Public concerné.</w:t>
      </w:r>
      <w:r>
        <w:t xml:space="preserve"> Organisations qui répètent des tâches manuelles, traitent de nombreux documents ou veulent explorer l’intelligence artificielle de façon encadrée.</w:t>
      </w:r>
    </w:p>
    <w:p>
      <w:pPr>
        <w:pStyle w:val="Heading2"/>
      </w:pPr>
      <w:r>
        <w:t>Comment choisir</w:t>
      </w:r>
    </w:p>
    <w:p>
      <w:pPr>
        <w:pStyle w:val="ListBullet"/>
      </w:pPr>
      <w:r>
        <w:t xml:space="preserve">Par où commencer : </w:t>
      </w:r>
      <w:r>
        <w:rPr>
          <w:b/>
        </w:rPr>
        <w:t>AU01</w:t>
      </w:r>
      <w:r>
        <w:t xml:space="preserve"> (audit des processus) ou </w:t>
      </w:r>
      <w:r>
        <w:rPr>
          <w:b/>
        </w:rPr>
        <w:t>IA04</w:t>
      </w:r>
      <w:r>
        <w:t xml:space="preserve"> (atelier « Opportunités IA » pour la direction).</w:t>
      </w:r>
    </w:p>
    <w:p>
      <w:pPr>
        <w:pStyle w:val="ListBullet"/>
      </w:pPr>
      <w:r>
        <w:t xml:space="preserve">Tâches simples : </w:t>
      </w:r>
      <w:r>
        <w:rPr>
          <w:b/>
        </w:rPr>
        <w:t>AU02</w:t>
      </w:r>
      <w:r>
        <w:t xml:space="preserve"> ; processus complets inter-outils : </w:t>
      </w:r>
      <w:r>
        <w:rPr>
          <w:b/>
        </w:rPr>
        <w:t>AU03</w:t>
      </w:r>
      <w:r>
        <w:t xml:space="preserve"> ; documents et rapports : </w:t>
      </w:r>
      <w:r>
        <w:rPr>
          <w:b/>
        </w:rPr>
        <w:t>AU04</w:t>
      </w:r>
      <w:r>
        <w:t>.</w:t>
      </w:r>
    </w:p>
    <w:p>
      <w:pPr>
        <w:pStyle w:val="ListBullet"/>
      </w:pPr>
      <w:r>
        <w:t xml:space="preserve">Assistant conversationnel : </w:t>
      </w:r>
      <w:r>
        <w:rPr>
          <w:b/>
        </w:rPr>
        <w:t>IA01</w:t>
      </w:r>
      <w:r>
        <w:t xml:space="preserve"> ; documents et processus : </w:t>
      </w:r>
      <w:r>
        <w:rPr>
          <w:b/>
        </w:rPr>
        <w:t>IA02</w:t>
      </w:r>
      <w:r>
        <w:t xml:space="preserve"> ; analyse et prévision : </w:t>
      </w:r>
      <w:r>
        <w:rPr>
          <w:b/>
        </w:rPr>
        <w:t>IA03</w:t>
      </w:r>
      <w:r>
        <w:t>.</w:t>
      </w:r>
    </w:p>
    <w:tbl>
      <w:tblPr>
        <w:jc w:val="center"/>
        <w:tblLayout w:type="fixed"/>
        <w:tblLook w:firstColumn="1" w:firstRow="1" w:lastColumn="0" w:lastRow="0" w:noHBand="0" w:noVBand="1" w:val="04A0"/>
        <w:tblLayout w:type="fixed"/>
        <w:tblW w:w="9639" w:type="dxa"/>
      </w:tblPr>
      <w:tblGrid>
        <w:gridCol w:w="9639"/>
      </w:tblGrid>
      <w:tr>
        <w:trPr>
          <w:cantSplit/>
        </w:trPr>
        <w:tc>
          <w:tcPr>
            <w:tcW w:type="dxa" w:w="9638"/>
            <w:shd w:val="clear" w:color="auto" w:fill="FFF4D6"/>
            <w:tcMar>
              <w:top w:w="110" w:type="dxa"/>
              <w:left w:w="180" w:type="dxa"/>
              <w:bottom w:w="110" w:type="dxa"/>
              <w:right w:w="160" w:type="dxa"/>
            </w:tcMar>
            <w:tcBorders>
              <w:top w:val="nil"/>
              <w:left w:val="single" w:sz="24" w:space="0" w:color="D99A00"/>
              <w:bottom w:val="nil"/>
              <w:right w:val="nil"/>
            </w:tcBorders>
          </w:tcPr>
          <w:p>
            <w:pPr>
              <w:pStyle w:val="TTGCell"/>
              <w:spacing w:after="40"/>
            </w:pPr>
            <w:r>
              <w:rPr>
                <w:b/>
                <w:color w:val="8A5A00"/>
                <w:sz w:val="18"/>
              </w:rPr>
              <w:t>Statut des tarifs : provisoire</w:t>
            </w:r>
          </w:p>
          <w:p>
            <w:pPr>
              <w:pStyle w:val="TTGCell"/>
            </w:pPr>
            <w:r>
              <w:rPr>
                <w:sz w:val="18"/>
              </w:rPr>
              <w:t xml:space="preserve">Les prix de cette grille sont des </w:t>
            </w:r>
            <w:r>
              <w:rPr>
                <w:b/>
                <w:sz w:val="18"/>
              </w:rPr>
              <w:t>propositions de travail</w:t>
            </w:r>
            <w:r>
              <w:rPr>
                <w:sz w:val="18"/>
              </w:rPr>
              <w:t xml:space="preserve"> à valider par la direction de TechnologyTrade Group. Ils sont indicatifs, exprimés en FCFA hors taxes, et ne remplacent pas le devis.</w:t>
            </w:r>
          </w:p>
        </w:tc>
      </w:tr>
    </w:tbl>
    <w:p>
      <w:pPr>
        <w:spacing w:after="100"/>
      </w:pPr>
    </w:p>
    <w:p>
      <w:pPr>
        <w:pStyle w:val="Heading1"/>
        <w:pBdr>
          <w:bottom w:val="single" w:sz="6" w:space="4" w:color="00A676"/>
        </w:pBdr>
      </w:pPr>
      <w:r>
        <w:t>2. Vue d’ensemble</w:t>
      </w:r>
    </w:p>
    <w:tbl>
      <w:tblPr>
        <w:jc w:val="center"/>
        <w:tblLayout w:type="fixed"/>
        <w:tblLook w:firstColumn="1" w:firstRow="1" w:lastColumn="0" w:lastRow="0" w:noHBand="0" w:noVBand="1" w:val="04A0"/>
        <w:tblLayout w:type="fixed"/>
        <w:tblW w:w="9639" w:type="dxa"/>
      </w:tblPr>
      <w:tblGrid>
        <w:gridCol w:w="741"/>
        <w:gridCol w:w="3283"/>
        <w:gridCol w:w="2330"/>
        <w:gridCol w:w="1588"/>
        <w:gridCol w:w="1694"/>
      </w:tblGrid>
      <w:tr>
        <w:trPr>
          <w:tblHeader w:val="true"/>
          <w:cantSplit/>
        </w:trPr>
        <w:tc>
          <w:tcPr>
            <w:tcW w:type="dxa" w:w="741"/>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3283"/>
            <w:shd w:val="clear" w:color="auto" w:fill="0B5A45"/>
            <w:tcMar>
              <w:top w:w="70" w:type="dxa"/>
              <w:left w:w="90" w:type="dxa"/>
              <w:bottom w:w="70" w:type="dxa"/>
              <w:right w:w="90" w:type="dxa"/>
            </w:tcMar>
            <w:vAlign w:val="center"/>
          </w:tcPr>
          <w:p>
            <w:pPr>
              <w:pStyle w:val="TTGCell"/>
            </w:pPr>
            <w:r>
              <w:rPr>
                <w:b/>
                <w:color w:val="FFFFFF"/>
                <w:sz w:val="17"/>
              </w:rPr>
              <w:t>Prestation</w:t>
            </w:r>
          </w:p>
        </w:tc>
        <w:tc>
          <w:tcPr>
            <w:tcW w:type="dxa" w:w="2330"/>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1589"/>
            <w:shd w:val="clear" w:color="auto" w:fill="0B5A45"/>
            <w:tcMar>
              <w:top w:w="70" w:type="dxa"/>
              <w:left w:w="90" w:type="dxa"/>
              <w:bottom w:w="70" w:type="dxa"/>
              <w:right w:w="90" w:type="dxa"/>
            </w:tcMar>
            <w:vAlign w:val="center"/>
          </w:tcPr>
          <w:p>
            <w:pPr>
              <w:pStyle w:val="TTGCell"/>
            </w:pPr>
            <w:r>
              <w:rPr>
                <w:b/>
                <w:color w:val="FFFFFF"/>
                <w:sz w:val="17"/>
              </w:rPr>
              <w:t>Délai indicatif</w:t>
            </w:r>
          </w:p>
        </w:tc>
        <w:tc>
          <w:tcPr>
            <w:tcW w:type="dxa" w:w="1695"/>
            <w:shd w:val="clear" w:color="auto" w:fill="0B5A45"/>
            <w:tcMar>
              <w:top w:w="70" w:type="dxa"/>
              <w:left w:w="90" w:type="dxa"/>
              <w:bottom w:w="70" w:type="dxa"/>
              <w:right w:w="90" w:type="dxa"/>
            </w:tcMar>
            <w:vAlign w:val="center"/>
          </w:tcPr>
          <w:p>
            <w:pPr>
              <w:pStyle w:val="TTGCell"/>
            </w:pPr>
            <w:r>
              <w:rPr>
                <w:b/>
                <w:color w:val="FFFFFF"/>
                <w:sz w:val="17"/>
              </w:rPr>
              <w:t>Paiement</w:t>
            </w:r>
          </w:p>
        </w:tc>
      </w:tr>
      <w:tr>
        <w:trPr>
          <w:cantSplit/>
        </w:trPr>
        <w:tc>
          <w:tcPr>
            <w:tcW w:type="dxa" w:w="741"/>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AU01</w:t>
            </w:r>
          </w:p>
        </w:tc>
        <w:tc>
          <w:tcPr>
            <w:tcW w:type="dxa" w:w="3283"/>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Audit et cartographie des processus</w:t>
            </w:r>
          </w:p>
        </w:tc>
        <w:tc>
          <w:tcPr>
            <w:tcW w:type="dxa" w:w="2330"/>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575 000 – 1 150 000 FCFA</w:t>
            </w:r>
          </w:p>
        </w:tc>
        <w:tc>
          <w:tcPr>
            <w:tcW w:type="dxa" w:w="1589"/>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 à 3 semaines</w:t>
            </w:r>
          </w:p>
        </w:tc>
        <w:tc>
          <w:tcPr>
            <w:tcW w:type="dxa" w:w="1695"/>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AU02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Automatisation de tâches simples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450 000 – 925 000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 à 3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AU03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Automatisation avancée de processus inter-outils</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1 700 000 – 3 350 000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4 à 8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AU04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Génération automatique de documents et de rapports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775 000 – 1 550 000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3 à 5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IA01</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Assistant conversationnel (chatbot)</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1 150 000 – 2 300 000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3 à 6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50 % / 50 % (75 / 25 possible)</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IA02</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IA appliquée aux documents et aux processus</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2 000 000 – 4 000 000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5 à 9 semaines</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tcPr>
          <w:p>
            <w:pPr>
              <w:pStyle w:val="TTGCell"/>
            </w:pPr>
            <w:r>
              <w:rPr>
                <w:b/>
                <w:sz w:val="17"/>
              </w:rPr>
              <w:t>IA03</w:t>
            </w:r>
          </w:p>
        </w:tc>
        <w:tc>
          <w:tcPr>
            <w:tcW w:type="dxa" w:w="3283"/>
            <w:tcMar>
              <w:top w:w="55" w:type="dxa"/>
              <w:left w:w="90" w:type="dxa"/>
              <w:bottom w:w="55" w:type="dxa"/>
              <w:right w:w="90" w:type="dxa"/>
            </w:tcMar>
            <w:tcBorders>
              <w:top w:val="nil"/>
              <w:left w:val="nil"/>
              <w:bottom w:val="single" w:sz="4" w:space="0" w:color="D5DBE2"/>
              <w:right w:val="nil"/>
            </w:tcBorders>
          </w:tcPr>
          <w:p>
            <w:pPr>
              <w:pStyle w:val="TTGCell"/>
            </w:pPr>
            <w:r>
              <w:rPr>
                <w:sz w:val="17"/>
              </w:rPr>
              <w:t>Analyse de données et modèle prédictif simple</w:t>
            </w:r>
          </w:p>
        </w:tc>
        <w:tc>
          <w:tcPr>
            <w:tcW w:type="dxa" w:w="2330"/>
            <w:tcMar>
              <w:top w:w="55" w:type="dxa"/>
              <w:left w:w="90" w:type="dxa"/>
              <w:bottom w:w="55" w:type="dxa"/>
              <w:right w:w="90" w:type="dxa"/>
            </w:tcMar>
            <w:tcBorders>
              <w:top w:val="nil"/>
              <w:left w:val="nil"/>
              <w:bottom w:val="single" w:sz="4" w:space="0" w:color="D5DBE2"/>
              <w:right w:val="nil"/>
            </w:tcBorders>
          </w:tcPr>
          <w:p>
            <w:pPr>
              <w:pStyle w:val="TTGCell"/>
              <w:jc w:val="right"/>
            </w:pPr>
            <w:r>
              <w:rPr>
                <w:sz w:val="17"/>
              </w:rPr>
              <w:t>1 500 000 – 2 950 000 FCFA</w:t>
            </w:r>
          </w:p>
        </w:tc>
        <w:tc>
          <w:tcPr>
            <w:tcW w:type="dxa" w:w="1589"/>
            <w:tcMar>
              <w:top w:w="55" w:type="dxa"/>
              <w:left w:w="90" w:type="dxa"/>
              <w:bottom w:w="55" w:type="dxa"/>
              <w:right w:w="90" w:type="dxa"/>
            </w:tcMar>
            <w:tcBorders>
              <w:top w:val="nil"/>
              <w:left w:val="nil"/>
              <w:bottom w:val="single" w:sz="4" w:space="0" w:color="D5DBE2"/>
              <w:right w:val="nil"/>
            </w:tcBorders>
          </w:tcPr>
          <w:p>
            <w:pPr>
              <w:pStyle w:val="TTGCell"/>
            </w:pPr>
            <w:r>
              <w:rPr>
                <w:sz w:val="17"/>
              </w:rPr>
              <w:t>4 à 7 semaines</w:t>
            </w:r>
          </w:p>
        </w:tc>
        <w:tc>
          <w:tcPr>
            <w:tcW w:type="dxa" w:w="1695"/>
            <w:tcMar>
              <w:top w:w="55" w:type="dxa"/>
              <w:left w:w="90" w:type="dxa"/>
              <w:bottom w:w="55" w:type="dxa"/>
              <w:right w:w="90" w:type="dxa"/>
            </w:tcMar>
            <w:tcBorders>
              <w:top w:val="nil"/>
              <w:left w:val="nil"/>
              <w:bottom w:val="single" w:sz="4" w:space="0" w:color="D5DBE2"/>
              <w:right w:val="nil"/>
            </w:tcBorders>
          </w:tcPr>
          <w:p>
            <w:pPr>
              <w:pStyle w:val="TTGCell"/>
            </w:pPr>
            <w:r>
              <w:rPr>
                <w:sz w:val="17"/>
              </w:rPr>
              <w:t>40 % / 30 % / 30 %</w:t>
            </w:r>
          </w:p>
        </w:tc>
      </w:tr>
      <w:tr>
        <w:trPr>
          <w:cantSplit/>
        </w:trPr>
        <w:tc>
          <w:tcPr>
            <w:tcW w:type="dxa" w:w="741"/>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IA04</w:t>
            </w:r>
          </w:p>
        </w:tc>
        <w:tc>
          <w:tcPr>
            <w:tcW w:type="dxa" w:w="3283"/>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Atelier « Opportunités IA » pour la direction</w:t>
            </w:r>
          </w:p>
        </w:tc>
        <w:tc>
          <w:tcPr>
            <w:tcW w:type="dxa" w:w="233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375 000 – 750 000 FCFA</w:t>
            </w:r>
          </w:p>
        </w:tc>
        <w:tc>
          <w:tcPr>
            <w:tcW w:type="dxa" w:w="1589"/>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 journée + 1 semaine de restitution</w:t>
            </w:r>
          </w:p>
        </w:tc>
        <w:tc>
          <w:tcPr>
            <w:tcW w:type="dxa" w:w="1695"/>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100 % à la commande</w:t>
            </w:r>
          </w:p>
        </w:tc>
      </w:tr>
    </w:tbl>
    <w:p>
      <w:pPr>
        <w:spacing w:after="80"/>
      </w:pPr>
    </w:p>
    <w:p>
      <w:pPr>
        <w:spacing w:after="0"/>
      </w:pPr>
      <w:r>
        <w:br w:type="page"/>
      </w:r>
    </w:p>
    <w:p>
      <w:pPr>
        <w:pStyle w:val="Heading1"/>
        <w:pBdr>
          <w:bottom w:val="single" w:sz="6" w:space="4" w:color="00A676"/>
        </w:pBdr>
      </w:pPr>
      <w:r>
        <w:t>3. Fiches détaillées des offres</w:t>
      </w:r>
    </w:p>
    <w:p>
      <w:pPr>
        <w:pStyle w:val="Heading2"/>
      </w:pPr>
      <w:r>
        <w:t>Automatisation des processus</w:t>
      </w:r>
    </w:p>
    <w:p>
      <w:pPr>
        <w:keepNext/>
        <w:spacing w:after="120"/>
      </w:pPr>
      <w:r>
        <w:rPr>
          <w:color w:val="626262"/>
          <w:sz w:val="18"/>
        </w:rPr>
        <w:t>Audit et automatisation des processus, génération de documents et de rapports.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AU01   </w:t>
            </w:r>
            <w:r>
              <w:rPr>
                <w:b/>
                <w:color w:val="FFFFFF"/>
                <w:sz w:val="20"/>
              </w:rPr>
              <w:t>Audit et cartographie des processus</w:t>
            </w:r>
            <w:r>
              <w:rPr>
                <w:b/>
                <w:color w:val="FFFFFF"/>
                <w:sz w:val="19"/>
              </w:rPr>
              <w:tab/>
              <w:t>575 000 – 1 150 000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Analyse des processus de l’organisation pour repérer les tâches répétitives et les gains de temps possibles.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Entretiens avec les responsables (jusqu’à 6)</w:t>
            </w:r>
          </w:p>
          <w:p>
            <w:pPr>
              <w:pStyle w:val="TTGCell"/>
              <w:keepNext/>
              <w:keepLines/>
              <w:ind w:left="170" w:hanging="170"/>
            </w:pPr>
            <w:r>
              <w:rPr>
                <w:b/>
                <w:color w:val="00A676"/>
                <w:sz w:val="16"/>
              </w:rPr>
              <w:t xml:space="preserve">• </w:t>
            </w:r>
            <w:r>
              <w:rPr>
                <w:sz w:val="16"/>
              </w:rPr>
              <w:t>Cartographie de 3 à 5 processus</w:t>
            </w:r>
          </w:p>
          <w:p>
            <w:pPr>
              <w:pStyle w:val="TTGCell"/>
              <w:keepNext/>
              <w:keepLines/>
              <w:ind w:left="170" w:hanging="170"/>
            </w:pPr>
            <w:r>
              <w:rPr>
                <w:b/>
                <w:color w:val="00A676"/>
                <w:sz w:val="16"/>
              </w:rPr>
              <w:t xml:space="preserve">• </w:t>
            </w:r>
            <w:r>
              <w:rPr>
                <w:sz w:val="16"/>
              </w:rPr>
              <w:t>Chiffrage des gains potentiels</w:t>
            </w:r>
          </w:p>
          <w:p>
            <w:pPr>
              <w:pStyle w:val="TTGCell"/>
              <w:keepNext/>
              <w:keepLines/>
              <w:ind w:left="170" w:hanging="170"/>
            </w:pPr>
            <w:r>
              <w:rPr>
                <w:b/>
                <w:color w:val="00A676"/>
                <w:sz w:val="16"/>
              </w:rPr>
              <w:t xml:space="preserve">• </w:t>
            </w:r>
            <w:r>
              <w:rPr>
                <w:sz w:val="16"/>
              </w:rPr>
              <w:t>Priorisation des automatisations</w:t>
            </w:r>
          </w:p>
          <w:p>
            <w:pPr>
              <w:pStyle w:val="TTGCell"/>
              <w:keepNext/>
              <w:keepLines/>
              <w:ind w:left="170" w:hanging="170"/>
            </w:pPr>
            <w:r>
              <w:rPr>
                <w:b/>
                <w:color w:val="00A676"/>
                <w:sz w:val="16"/>
              </w:rPr>
              <w:t xml:space="preserve">• </w:t>
            </w:r>
            <w:r>
              <w:rPr>
                <w:sz w:val="16"/>
              </w:rPr>
              <w:t>Restitution à la direction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Cartographie des processus</w:t>
            </w:r>
          </w:p>
          <w:p>
            <w:pPr>
              <w:pStyle w:val="TTGCell"/>
              <w:keepNext/>
              <w:keepLines/>
              <w:ind w:left="170" w:hanging="170"/>
            </w:pPr>
            <w:r>
              <w:rPr>
                <w:b/>
                <w:color w:val="00A676"/>
                <w:sz w:val="16"/>
              </w:rPr>
              <w:t xml:space="preserve">• </w:t>
            </w:r>
            <w:r>
              <w:rPr>
                <w:sz w:val="16"/>
              </w:rPr>
              <w:t>Rapport d’audit</w:t>
            </w:r>
          </w:p>
          <w:p>
            <w:pPr>
              <w:pStyle w:val="TTGCell"/>
              <w:keepNext/>
              <w:keepLines/>
              <w:ind w:left="170" w:hanging="170"/>
            </w:pPr>
            <w:r>
              <w:rPr>
                <w:b/>
                <w:color w:val="00A676"/>
                <w:sz w:val="16"/>
              </w:rPr>
              <w:t xml:space="preserve">• </w:t>
            </w:r>
            <w:r>
              <w:rPr>
                <w:sz w:val="16"/>
              </w:rPr>
              <w:t>Feuille de route d’automatisation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2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automatisations</w:t>
            </w:r>
          </w:p>
          <w:p>
            <w:pPr>
              <w:pStyle w:val="TTGCell"/>
              <w:keepNext w:val="0"/>
              <w:keepLines/>
              <w:ind w:left="170" w:hanging="170"/>
            </w:pPr>
            <w:r>
              <w:rPr>
                <w:b/>
                <w:color w:val="00A676"/>
                <w:sz w:val="16"/>
              </w:rPr>
              <w:t xml:space="preserve">• </w:t>
            </w:r>
            <w:r>
              <w:rPr>
                <w:sz w:val="16"/>
              </w:rPr>
              <w:t>Audit organisationnel complet</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processus</w:t>
            </w:r>
          </w:p>
          <w:p>
            <w:pPr>
              <w:pStyle w:val="TTGCell"/>
              <w:keepNext w:val="0"/>
              <w:keepLines/>
              <w:ind w:left="170" w:hanging="170"/>
            </w:pPr>
            <w:r>
              <w:rPr>
                <w:b/>
                <w:color w:val="00A676"/>
                <w:sz w:val="16"/>
              </w:rPr>
              <w:t xml:space="preserve">• </w:t>
            </w:r>
            <w:r>
              <w:rPr>
                <w:sz w:val="16"/>
              </w:rPr>
              <w:t>Nombre de sites</w:t>
            </w:r>
          </w:p>
          <w:p>
            <w:pPr>
              <w:pStyle w:val="TTGCell"/>
              <w:keepNext w:val="0"/>
              <w:keepLines/>
              <w:ind w:left="170" w:hanging="170"/>
            </w:pPr>
            <w:r>
              <w:rPr>
                <w:b/>
                <w:color w:val="00A676"/>
                <w:sz w:val="16"/>
              </w:rPr>
              <w:t xml:space="preserve">• </w:t>
            </w:r>
            <w:r>
              <w:rPr>
                <w:sz w:val="16"/>
              </w:rPr>
              <w:t>Disponibilité des équipes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AU02   </w:t>
            </w:r>
            <w:r>
              <w:rPr>
                <w:b/>
                <w:color w:val="FFFFFF"/>
                <w:sz w:val="20"/>
              </w:rPr>
              <w:t>Automatisation de tâches simples</w:t>
            </w:r>
            <w:r>
              <w:rPr>
                <w:b/>
                <w:color w:val="FFFFFF"/>
                <w:sz w:val="19"/>
              </w:rPr>
              <w:tab/>
              <w:t>450 000 – 925 000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Automatisation de tâches courantes : formulaires vers tableur, notifications, rappels, rapports périodiques.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Jusqu’à 5 automatisations simples</w:t>
            </w:r>
          </w:p>
          <w:p>
            <w:pPr>
              <w:pStyle w:val="TTGCell"/>
              <w:keepNext/>
              <w:keepLines/>
              <w:ind w:left="170" w:hanging="170"/>
            </w:pPr>
            <w:r>
              <w:rPr>
                <w:b/>
                <w:color w:val="00A676"/>
                <w:sz w:val="16"/>
              </w:rPr>
              <w:t xml:space="preserve">• </w:t>
            </w:r>
            <w:r>
              <w:rPr>
                <w:sz w:val="16"/>
              </w:rPr>
              <w:t>Paramétrage des outils existants du client</w:t>
            </w:r>
          </w:p>
          <w:p>
            <w:pPr>
              <w:pStyle w:val="TTGCell"/>
              <w:keepNext/>
              <w:keepLines/>
              <w:ind w:left="170" w:hanging="170"/>
            </w:pPr>
            <w:r>
              <w:rPr>
                <w:b/>
                <w:color w:val="00A676"/>
                <w:sz w:val="16"/>
              </w:rPr>
              <w:t xml:space="preserve">• </w:t>
            </w:r>
            <w:r>
              <w:rPr>
                <w:sz w:val="16"/>
              </w:rPr>
              <w:t>Tests et documentation</w:t>
            </w:r>
          </w:p>
          <w:p>
            <w:pPr>
              <w:pStyle w:val="TTGCell"/>
              <w:keepNext/>
              <w:keepLines/>
              <w:ind w:left="170" w:hanging="170"/>
            </w:pPr>
            <w:r>
              <w:rPr>
                <w:b/>
                <w:color w:val="00A676"/>
                <w:sz w:val="16"/>
              </w:rPr>
              <w:t xml:space="preserve">• </w:t>
            </w:r>
            <w:r>
              <w:rPr>
                <w:sz w:val="16"/>
              </w:rPr>
              <w:t>Formation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Automatisations en service</w:t>
            </w:r>
          </w:p>
          <w:p>
            <w:pPr>
              <w:pStyle w:val="TTGCell"/>
              <w:keepNext/>
              <w:keepLines/>
              <w:ind w:left="170" w:hanging="170"/>
            </w:pPr>
            <w:r>
              <w:rPr>
                <w:b/>
                <w:color w:val="00A676"/>
                <w:sz w:val="16"/>
              </w:rPr>
              <w:t xml:space="preserve">• </w:t>
            </w:r>
            <w:r>
              <w:rPr>
                <w:sz w:val="16"/>
              </w:rPr>
              <w:t>Fiche descriptive de chaque automatisation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à 3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d’automatisation</w:t>
            </w:r>
          </w:p>
          <w:p>
            <w:pPr>
              <w:pStyle w:val="TTGCell"/>
              <w:keepNext w:val="0"/>
              <w:keepLines/>
              <w:ind w:left="170" w:hanging="170"/>
            </w:pPr>
            <w:r>
              <w:rPr>
                <w:b/>
                <w:color w:val="00A676"/>
                <w:sz w:val="16"/>
              </w:rPr>
              <w:t xml:space="preserve">• </w:t>
            </w:r>
            <w:r>
              <w:rPr>
                <w:sz w:val="16"/>
              </w:rPr>
              <w:t>Développement de logiciels sur mesure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Outils utilisés</w:t>
            </w:r>
          </w:p>
          <w:p>
            <w:pPr>
              <w:pStyle w:val="TTGCell"/>
              <w:keepNext w:val="0"/>
              <w:keepLines/>
              <w:ind w:left="170" w:hanging="170"/>
            </w:pPr>
            <w:r>
              <w:rPr>
                <w:b/>
                <w:color w:val="00A676"/>
                <w:sz w:val="16"/>
              </w:rPr>
              <w:t xml:space="preserve">• </w:t>
            </w:r>
            <w:r>
              <w:rPr>
                <w:sz w:val="16"/>
              </w:rPr>
              <w:t>Nombre d’automatisations</w:t>
            </w:r>
          </w:p>
          <w:p>
            <w:pPr>
              <w:pStyle w:val="TTGCell"/>
              <w:keepNext w:val="0"/>
              <w:keepLines/>
              <w:ind w:left="170" w:hanging="170"/>
            </w:pPr>
            <w:r>
              <w:rPr>
                <w:b/>
                <w:color w:val="00A676"/>
                <w:sz w:val="16"/>
              </w:rPr>
              <w:t xml:space="preserve">• </w:t>
            </w:r>
            <w:r>
              <w:rPr>
                <w:sz w:val="16"/>
              </w:rPr>
              <w:t>Qualité des données d’entrée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AU03   </w:t>
            </w:r>
            <w:r>
              <w:rPr>
                <w:b/>
                <w:color w:val="FFFFFF"/>
                <w:sz w:val="20"/>
              </w:rPr>
              <w:t>Automatisation avancée de processus inter-outils</w:t>
            </w:r>
            <w:r>
              <w:rPr>
                <w:b/>
                <w:color w:val="FFFFFF"/>
                <w:sz w:val="19"/>
              </w:rPr>
              <w:tab/>
              <w:t>1 700 000 – 3 350 000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Automatisation de processus complets entre plusieurs outils, avec validations et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Conception des flux et des règles</w:t>
            </w:r>
          </w:p>
          <w:p>
            <w:pPr>
              <w:pStyle w:val="TTGCell"/>
              <w:keepNext/>
              <w:keepLines/>
              <w:ind w:left="170" w:hanging="170"/>
            </w:pPr>
            <w:r>
              <w:rPr>
                <w:b/>
                <w:color w:val="00A676"/>
                <w:sz w:val="16"/>
              </w:rPr>
              <w:t xml:space="preserve">• </w:t>
            </w:r>
            <w:r>
              <w:rPr>
                <w:sz w:val="16"/>
              </w:rPr>
              <w:t>Jusqu’à 3 processus complets automatisés</w:t>
            </w:r>
          </w:p>
          <w:p>
            <w:pPr>
              <w:pStyle w:val="TTGCell"/>
              <w:keepNext/>
              <w:keepLines/>
              <w:ind w:left="170" w:hanging="170"/>
            </w:pPr>
            <w:r>
              <w:rPr>
                <w:b/>
                <w:color w:val="00A676"/>
                <w:sz w:val="16"/>
              </w:rPr>
              <w:t xml:space="preserve">• </w:t>
            </w:r>
            <w:r>
              <w:rPr>
                <w:sz w:val="16"/>
              </w:rPr>
              <w:t>Circuits de validation et alertes</w:t>
            </w:r>
          </w:p>
          <w:p>
            <w:pPr>
              <w:pStyle w:val="TTGCell"/>
              <w:keepNext/>
              <w:keepLines/>
              <w:ind w:left="170" w:hanging="170"/>
            </w:pPr>
            <w:r>
              <w:rPr>
                <w:b/>
                <w:color w:val="00A676"/>
                <w:sz w:val="16"/>
              </w:rPr>
              <w:t xml:space="preserve">• </w:t>
            </w:r>
            <w:r>
              <w:rPr>
                <w:sz w:val="16"/>
              </w:rPr>
              <w:t>Journal d’exécution et tableau de suivi</w:t>
            </w:r>
          </w:p>
          <w:p>
            <w:pPr>
              <w:pStyle w:val="TTGCell"/>
              <w:keepNext/>
              <w:keepLines/>
              <w:ind w:left="170" w:hanging="170"/>
            </w:pPr>
            <w:r>
              <w:rPr>
                <w:b/>
                <w:color w:val="00A676"/>
                <w:sz w:val="16"/>
              </w:rPr>
              <w:t xml:space="preserve">• </w:t>
            </w:r>
            <w:r>
              <w:rPr>
                <w:sz w:val="16"/>
              </w:rPr>
              <w:t>Formation (4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Processus automatisés en production</w:t>
            </w:r>
          </w:p>
          <w:p>
            <w:pPr>
              <w:pStyle w:val="TTGCell"/>
              <w:keepNext/>
              <w:keepLines/>
              <w:ind w:left="170" w:hanging="170"/>
            </w:pPr>
            <w:r>
              <w:rPr>
                <w:b/>
                <w:color w:val="00A676"/>
                <w:sz w:val="16"/>
              </w:rPr>
              <w:t xml:space="preserve">• </w:t>
            </w:r>
            <w:r>
              <w:rPr>
                <w:sz w:val="16"/>
              </w:rPr>
              <w:t>Documentation</w:t>
            </w:r>
          </w:p>
          <w:p>
            <w:pPr>
              <w:pStyle w:val="TTGCell"/>
              <w:keepNext/>
              <w:keepLines/>
              <w:ind w:left="170" w:hanging="170"/>
            </w:pPr>
            <w:r>
              <w:rPr>
                <w:b/>
                <w:color w:val="00A676"/>
                <w:sz w:val="16"/>
              </w:rPr>
              <w:t xml:space="preserve">• </w:t>
            </w:r>
            <w:r>
              <w:rPr>
                <w:sz w:val="16"/>
              </w:rPr>
              <w:t>Tableau de suivi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8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Licences des outils connectés</w:t>
            </w:r>
          </w:p>
          <w:p>
            <w:pPr>
              <w:pStyle w:val="TTGCell"/>
              <w:keepNext w:val="0"/>
              <w:keepLines/>
              <w:ind w:left="170" w:hanging="170"/>
            </w:pPr>
            <w:r>
              <w:rPr>
                <w:b/>
                <w:color w:val="00A676"/>
                <w:sz w:val="16"/>
              </w:rPr>
              <w:t xml:space="preserve">• </w:t>
            </w:r>
            <w:r>
              <w:rPr>
                <w:sz w:val="16"/>
              </w:rPr>
              <w:t>Refonte organisationnelle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processus</w:t>
            </w:r>
          </w:p>
          <w:p>
            <w:pPr>
              <w:pStyle w:val="TTGCell"/>
              <w:keepNext w:val="0"/>
              <w:keepLines/>
              <w:ind w:left="170" w:hanging="170"/>
            </w:pPr>
            <w:r>
              <w:rPr>
                <w:b/>
                <w:color w:val="00A676"/>
                <w:sz w:val="16"/>
              </w:rPr>
              <w:t xml:space="preserve">• </w:t>
            </w:r>
            <w:r>
              <w:rPr>
                <w:sz w:val="16"/>
              </w:rPr>
              <w:t>Nombre d’outils connectés</w:t>
            </w:r>
          </w:p>
          <w:p>
            <w:pPr>
              <w:pStyle w:val="TTGCell"/>
              <w:keepNext w:val="0"/>
              <w:keepLines/>
              <w:ind w:left="170" w:hanging="170"/>
            </w:pPr>
            <w:r>
              <w:rPr>
                <w:b/>
                <w:color w:val="00A676"/>
                <w:sz w:val="16"/>
              </w:rPr>
              <w:t xml:space="preserve">• </w:t>
            </w:r>
            <w:r>
              <w:rPr>
                <w:sz w:val="16"/>
              </w:rPr>
              <w:t>Exceptions à gérer</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AU04   </w:t>
            </w:r>
            <w:r>
              <w:rPr>
                <w:b/>
                <w:color w:val="FFFFFF"/>
                <w:sz w:val="20"/>
              </w:rPr>
              <w:t>Génération automatique de documents et de rapports</w:t>
            </w:r>
            <w:r>
              <w:rPr>
                <w:b/>
                <w:color w:val="FFFFFF"/>
                <w:sz w:val="19"/>
              </w:rPr>
              <w:tab/>
              <w:t>775 000 – 1 550 000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Production automatique de contrats, attestations, factures ou rapports à partir de données structurées.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Modèles de documents (jusqu’à 5)</w:t>
            </w:r>
          </w:p>
          <w:p>
            <w:pPr>
              <w:pStyle w:val="TTGCell"/>
              <w:keepNext/>
              <w:keepLines/>
              <w:ind w:left="170" w:hanging="170"/>
            </w:pPr>
            <w:r>
              <w:rPr>
                <w:b/>
                <w:color w:val="00A676"/>
                <w:sz w:val="16"/>
              </w:rPr>
              <w:t xml:space="preserve">• </w:t>
            </w:r>
            <w:r>
              <w:rPr>
                <w:sz w:val="16"/>
              </w:rPr>
              <w:t>Alimentation depuis un formulaire ou une base</w:t>
            </w:r>
          </w:p>
          <w:p>
            <w:pPr>
              <w:pStyle w:val="TTGCell"/>
              <w:keepNext/>
              <w:keepLines/>
              <w:ind w:left="170" w:hanging="170"/>
            </w:pPr>
            <w:r>
              <w:rPr>
                <w:b/>
                <w:color w:val="00A676"/>
                <w:sz w:val="16"/>
              </w:rPr>
              <w:t xml:space="preserve">• </w:t>
            </w:r>
            <w:r>
              <w:rPr>
                <w:sz w:val="16"/>
              </w:rPr>
              <w:t>Export PDF et envoi par e-mail</w:t>
            </w:r>
          </w:p>
          <w:p>
            <w:pPr>
              <w:pStyle w:val="TTGCell"/>
              <w:keepNext/>
              <w:keepLines/>
              <w:ind w:left="170" w:hanging="170"/>
            </w:pPr>
            <w:r>
              <w:rPr>
                <w:b/>
                <w:color w:val="00A676"/>
                <w:sz w:val="16"/>
              </w:rPr>
              <w:t xml:space="preserve">• </w:t>
            </w:r>
            <w:r>
              <w:rPr>
                <w:sz w:val="16"/>
              </w:rPr>
              <w:t>Archivage automatique</w:t>
            </w:r>
          </w:p>
          <w:p>
            <w:pPr>
              <w:pStyle w:val="TTGCell"/>
              <w:keepNext/>
              <w:keepLines/>
              <w:ind w:left="170" w:hanging="170"/>
            </w:pPr>
            <w:r>
              <w:rPr>
                <w:b/>
                <w:color w:val="00A676"/>
                <w:sz w:val="16"/>
              </w:rPr>
              <w:t xml:space="preserve">• </w:t>
            </w:r>
            <w:r>
              <w:rPr>
                <w:sz w:val="16"/>
              </w:rPr>
              <w:t>Formation (2 h)</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Générateur de documents en service</w:t>
            </w:r>
          </w:p>
          <w:p>
            <w:pPr>
              <w:pStyle w:val="TTGCell"/>
              <w:keepNext/>
              <w:keepLines/>
              <w:ind w:left="170" w:hanging="170"/>
            </w:pPr>
            <w:r>
              <w:rPr>
                <w:b/>
                <w:color w:val="00A676"/>
                <w:sz w:val="16"/>
              </w:rPr>
              <w:t xml:space="preserve">• </w:t>
            </w:r>
            <w:r>
              <w:rPr>
                <w:sz w:val="16"/>
              </w:rPr>
              <w:t>Modèles modifiables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5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Signature électronique à valeur légale (à valider)</w:t>
            </w:r>
          </w:p>
          <w:p>
            <w:pPr>
              <w:pStyle w:val="TTGCell"/>
              <w:keepNext w:val="0"/>
              <w:keepLines/>
              <w:ind w:left="170" w:hanging="170"/>
            </w:pPr>
            <w:r>
              <w:rPr>
                <w:b/>
                <w:color w:val="00A676"/>
                <w:sz w:val="16"/>
              </w:rPr>
              <w:t xml:space="preserve">• </w:t>
            </w:r>
            <w:r>
              <w:rPr>
                <w:sz w:val="16"/>
              </w:rPr>
              <w:t>Rédaction juridique des modèles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modèles</w:t>
            </w:r>
          </w:p>
          <w:p>
            <w:pPr>
              <w:pStyle w:val="TTGCell"/>
              <w:keepNext w:val="0"/>
              <w:keepLines/>
              <w:ind w:left="170" w:hanging="170"/>
            </w:pPr>
            <w:r>
              <w:rPr>
                <w:b/>
                <w:color w:val="00A676"/>
                <w:sz w:val="16"/>
              </w:rPr>
              <w:t xml:space="preserve">• </w:t>
            </w:r>
            <w:r>
              <w:rPr>
                <w:sz w:val="16"/>
              </w:rPr>
              <w:t>Complexité des règles de mise en forme</w:t>
            </w:r>
          </w:p>
          <w:p>
            <w:pPr>
              <w:pStyle w:val="TTGCell"/>
              <w:keepNext w:val="0"/>
              <w:keepLines/>
              <w:ind w:left="170" w:hanging="170"/>
            </w:pPr>
            <w:r>
              <w:rPr>
                <w:b/>
                <w:color w:val="00A676"/>
                <w:sz w:val="16"/>
              </w:rPr>
              <w:t xml:space="preserve">• </w:t>
            </w:r>
            <w:r>
              <w:rPr>
                <w:sz w:val="16"/>
              </w:rPr>
              <w:t>Volume</w:t>
            </w:r>
          </w:p>
        </w:tc>
      </w:tr>
    </w:tbl>
    <w:p>
      <w:pPr>
        <w:spacing w:after="140"/>
      </w:pPr>
    </w:p>
    <w:p>
      <w:pPr>
        <w:pStyle w:val="Heading2"/>
      </w:pPr>
      <w:r>
        <w:t>Solutions intégrant l’intelligence artificielle</w:t>
      </w:r>
    </w:p>
    <w:p>
      <w:pPr>
        <w:keepNext/>
        <w:spacing w:after="120"/>
      </w:pPr>
      <w:r>
        <w:rPr>
          <w:color w:val="626262"/>
          <w:sz w:val="18"/>
        </w:rPr>
        <w:t>Assistants conversationnels, IA appliquée aux documents, analyse de données, ateliers.</w:t>
      </w: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IA01   </w:t>
            </w:r>
            <w:r>
              <w:rPr>
                <w:b/>
                <w:color w:val="FFFFFF"/>
                <w:sz w:val="20"/>
              </w:rPr>
              <w:t>Assistant conversationnel (chatbot)</w:t>
            </w:r>
            <w:r>
              <w:rPr>
                <w:b/>
                <w:color w:val="FFFFFF"/>
                <w:sz w:val="19"/>
              </w:rPr>
              <w:tab/>
              <w:t>1 150 000 – 2 300 000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Assistant automatisé répondant aux questions fréquentes sur un site ou dans une messagerie, avec transfert vers un humain.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Base de connaissances (jusqu’à 50 questions-réponses)</w:t>
            </w:r>
          </w:p>
          <w:p>
            <w:pPr>
              <w:pStyle w:val="TTGCell"/>
              <w:keepNext/>
              <w:keepLines/>
              <w:ind w:left="170" w:hanging="170"/>
            </w:pPr>
            <w:r>
              <w:rPr>
                <w:b/>
                <w:color w:val="00A676"/>
                <w:sz w:val="16"/>
              </w:rPr>
              <w:t xml:space="preserve">• </w:t>
            </w:r>
            <w:r>
              <w:rPr>
                <w:sz w:val="16"/>
              </w:rPr>
              <w:t>Intégration au site ou à un canal de messagerie</w:t>
            </w:r>
          </w:p>
          <w:p>
            <w:pPr>
              <w:pStyle w:val="TTGCell"/>
              <w:keepNext/>
              <w:keepLines/>
              <w:ind w:left="170" w:hanging="170"/>
            </w:pPr>
            <w:r>
              <w:rPr>
                <w:b/>
                <w:color w:val="00A676"/>
                <w:sz w:val="16"/>
              </w:rPr>
              <w:t xml:space="preserve">• </w:t>
            </w:r>
            <w:r>
              <w:rPr>
                <w:sz w:val="16"/>
              </w:rPr>
              <w:t>Transfert vers un agent</w:t>
            </w:r>
          </w:p>
          <w:p>
            <w:pPr>
              <w:pStyle w:val="TTGCell"/>
              <w:keepNext/>
              <w:keepLines/>
              <w:ind w:left="170" w:hanging="170"/>
            </w:pPr>
            <w:r>
              <w:rPr>
                <w:b/>
                <w:color w:val="00A676"/>
                <w:sz w:val="16"/>
              </w:rPr>
              <w:t xml:space="preserve">• </w:t>
            </w:r>
            <w:r>
              <w:rPr>
                <w:sz w:val="16"/>
              </w:rPr>
              <w:t>Tableau de bord des conversations</w:t>
            </w:r>
          </w:p>
          <w:p>
            <w:pPr>
              <w:pStyle w:val="TTGCell"/>
              <w:keepNext/>
              <w:keepLines/>
              <w:ind w:left="170" w:hanging="170"/>
            </w:pPr>
            <w:r>
              <w:rPr>
                <w:b/>
                <w:color w:val="00A676"/>
                <w:sz w:val="16"/>
              </w:rPr>
              <w:t xml:space="preserve">• </w:t>
            </w:r>
            <w:r>
              <w:rPr>
                <w:sz w:val="16"/>
              </w:rPr>
              <w:t>Réglages pendant 30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Assistant en service</w:t>
            </w:r>
          </w:p>
          <w:p>
            <w:pPr>
              <w:pStyle w:val="TTGCell"/>
              <w:keepNext/>
              <w:keepLines/>
              <w:ind w:left="170" w:hanging="170"/>
            </w:pPr>
            <w:r>
              <w:rPr>
                <w:b/>
                <w:color w:val="00A676"/>
                <w:sz w:val="16"/>
              </w:rPr>
              <w:t xml:space="preserve">• </w:t>
            </w:r>
            <w:r>
              <w:rPr>
                <w:sz w:val="16"/>
              </w:rPr>
              <w:t>Base de connaissances modifiable</w:t>
            </w:r>
          </w:p>
          <w:p>
            <w:pPr>
              <w:pStyle w:val="TTGCell"/>
              <w:keepNext/>
              <w:keepLines/>
              <w:ind w:left="170" w:hanging="170"/>
            </w:pPr>
            <w:r>
              <w:rPr>
                <w:b/>
                <w:color w:val="00A676"/>
                <w:sz w:val="16"/>
              </w:rPr>
              <w:t xml:space="preserve">• </w:t>
            </w:r>
            <w:r>
              <w:rPr>
                <w:sz w:val="16"/>
              </w:rPr>
              <w:t>Rapport à 30 jours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3 à 6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50 % à la commande, 50 % à la livraison. Variante 75 % / 25 % possible pour un projet court, sur accord écrit des parties.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Abonnements aux services d’IA et de messagerie</w:t>
            </w:r>
          </w:p>
          <w:p>
            <w:pPr>
              <w:pStyle w:val="TTGCell"/>
              <w:keepNext w:val="0"/>
              <w:keepLines/>
              <w:ind w:left="170" w:hanging="170"/>
            </w:pPr>
            <w:r>
              <w:rPr>
                <w:b/>
                <w:color w:val="00A676"/>
                <w:sz w:val="16"/>
              </w:rPr>
              <w:t xml:space="preserve">• </w:t>
            </w:r>
            <w:r>
              <w:rPr>
                <w:sz w:val="16"/>
              </w:rPr>
              <w:t>Garantie d’exactitude des réponses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de conversations</w:t>
            </w:r>
          </w:p>
          <w:p>
            <w:pPr>
              <w:pStyle w:val="TTGCell"/>
              <w:keepNext w:val="0"/>
              <w:keepLines/>
              <w:ind w:left="170" w:hanging="170"/>
            </w:pPr>
            <w:r>
              <w:rPr>
                <w:b/>
                <w:color w:val="00A676"/>
                <w:sz w:val="16"/>
              </w:rPr>
              <w:t xml:space="preserve">• </w:t>
            </w:r>
            <w:r>
              <w:rPr>
                <w:sz w:val="16"/>
              </w:rPr>
              <w:t>Langues</w:t>
            </w:r>
          </w:p>
          <w:p>
            <w:pPr>
              <w:pStyle w:val="TTGCell"/>
              <w:keepNext w:val="0"/>
              <w:keepLines/>
              <w:ind w:left="170" w:hanging="170"/>
            </w:pPr>
            <w:r>
              <w:rPr>
                <w:b/>
                <w:color w:val="00A676"/>
                <w:sz w:val="16"/>
              </w:rPr>
              <w:t xml:space="preserve">• </w:t>
            </w:r>
            <w:r>
              <w:rPr>
                <w:sz w:val="16"/>
              </w:rPr>
              <w:t>Canaux de messagerie</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IA02   </w:t>
            </w:r>
            <w:r>
              <w:rPr>
                <w:b/>
                <w:color w:val="FFFFFF"/>
                <w:sz w:val="20"/>
              </w:rPr>
              <w:t>IA appliquée aux documents et aux processus</w:t>
            </w:r>
            <w:r>
              <w:rPr>
                <w:b/>
                <w:color w:val="FFFFFF"/>
                <w:sz w:val="19"/>
              </w:rPr>
              <w:tab/>
              <w:t>2 000 000 – 4 000 000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Tri, classement, extraction et résumé automatique de documents ou de demandes, avec contrôle humain.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Cadrage des cas d’usage et des risques</w:t>
            </w:r>
          </w:p>
          <w:p>
            <w:pPr>
              <w:pStyle w:val="TTGCell"/>
              <w:keepNext/>
              <w:keepLines/>
              <w:ind w:left="170" w:hanging="170"/>
            </w:pPr>
            <w:r>
              <w:rPr>
                <w:b/>
                <w:color w:val="00A676"/>
                <w:sz w:val="16"/>
              </w:rPr>
              <w:t xml:space="preserve">• </w:t>
            </w:r>
            <w:r>
              <w:rPr>
                <w:sz w:val="16"/>
              </w:rPr>
              <w:t>Prototype sur un jeu de documents réels</w:t>
            </w:r>
          </w:p>
          <w:p>
            <w:pPr>
              <w:pStyle w:val="TTGCell"/>
              <w:keepNext/>
              <w:keepLines/>
              <w:ind w:left="170" w:hanging="170"/>
            </w:pPr>
            <w:r>
              <w:rPr>
                <w:b/>
                <w:color w:val="00A676"/>
                <w:sz w:val="16"/>
              </w:rPr>
              <w:t xml:space="preserve">• </w:t>
            </w:r>
            <w:r>
              <w:rPr>
                <w:sz w:val="16"/>
              </w:rPr>
              <w:t>Intégration au processus existant</w:t>
            </w:r>
          </w:p>
          <w:p>
            <w:pPr>
              <w:pStyle w:val="TTGCell"/>
              <w:keepNext/>
              <w:keepLines/>
              <w:ind w:left="170" w:hanging="170"/>
            </w:pPr>
            <w:r>
              <w:rPr>
                <w:b/>
                <w:color w:val="00A676"/>
                <w:sz w:val="16"/>
              </w:rPr>
              <w:t xml:space="preserve">• </w:t>
            </w:r>
            <w:r>
              <w:rPr>
                <w:sz w:val="16"/>
              </w:rPr>
              <w:t>Contrôle humain et traçabilité</w:t>
            </w:r>
          </w:p>
          <w:p>
            <w:pPr>
              <w:pStyle w:val="TTGCell"/>
              <w:keepNext/>
              <w:keepLines/>
              <w:ind w:left="170" w:hanging="170"/>
            </w:pPr>
            <w:r>
              <w:rPr>
                <w:b/>
                <w:color w:val="00A676"/>
                <w:sz w:val="16"/>
              </w:rPr>
              <w:t xml:space="preserve">• </w:t>
            </w:r>
            <w:r>
              <w:rPr>
                <w:sz w:val="16"/>
              </w:rPr>
              <w:t>Évaluation de la qualité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Solution en service</w:t>
            </w:r>
          </w:p>
          <w:p>
            <w:pPr>
              <w:pStyle w:val="TTGCell"/>
              <w:keepNext/>
              <w:keepLines/>
              <w:ind w:left="170" w:hanging="170"/>
            </w:pPr>
            <w:r>
              <w:rPr>
                <w:b/>
                <w:color w:val="00A676"/>
                <w:sz w:val="16"/>
              </w:rPr>
              <w:t xml:space="preserve">• </w:t>
            </w:r>
            <w:r>
              <w:rPr>
                <w:sz w:val="16"/>
              </w:rPr>
              <w:t>Rapport d’évaluation</w:t>
            </w:r>
          </w:p>
          <w:p>
            <w:pPr>
              <w:pStyle w:val="TTGCell"/>
              <w:keepNext/>
              <w:keepLines/>
              <w:ind w:left="170" w:hanging="170"/>
            </w:pPr>
            <w:r>
              <w:rPr>
                <w:b/>
                <w:color w:val="00A676"/>
                <w:sz w:val="16"/>
              </w:rPr>
              <w:t xml:space="preserve">• </w:t>
            </w:r>
            <w:r>
              <w:rPr>
                <w:sz w:val="16"/>
              </w:rPr>
              <w:t>Guide d’utilisation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5 à 9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Abonnements aux services d’IA</w:t>
            </w:r>
          </w:p>
          <w:p>
            <w:pPr>
              <w:pStyle w:val="TTGCell"/>
              <w:keepNext w:val="0"/>
              <w:keepLines/>
              <w:ind w:left="170" w:hanging="170"/>
            </w:pPr>
            <w:r>
              <w:rPr>
                <w:b/>
                <w:color w:val="00A676"/>
                <w:sz w:val="16"/>
              </w:rPr>
              <w:t xml:space="preserve">• </w:t>
            </w:r>
            <w:r>
              <w:rPr>
                <w:sz w:val="16"/>
              </w:rPr>
              <w:t>Garantie de résultat</w:t>
            </w:r>
          </w:p>
          <w:p>
            <w:pPr>
              <w:pStyle w:val="TTGCell"/>
              <w:keepNext w:val="0"/>
              <w:keepLines/>
              <w:ind w:left="170" w:hanging="170"/>
            </w:pPr>
            <w:r>
              <w:rPr>
                <w:b/>
                <w:color w:val="00A676"/>
                <w:sz w:val="16"/>
              </w:rPr>
              <w:t xml:space="preserve">• </w:t>
            </w:r>
            <w:r>
              <w:rPr>
                <w:sz w:val="16"/>
              </w:rPr>
              <w:t>Traitement de données personnelles sans cadre validé</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Qualité et volume des documents</w:t>
            </w:r>
          </w:p>
          <w:p>
            <w:pPr>
              <w:pStyle w:val="TTGCell"/>
              <w:keepNext w:val="0"/>
              <w:keepLines/>
              <w:ind w:left="170" w:hanging="170"/>
            </w:pPr>
            <w:r>
              <w:rPr>
                <w:b/>
                <w:color w:val="00A676"/>
                <w:sz w:val="16"/>
              </w:rPr>
              <w:t xml:space="preserve">• </w:t>
            </w:r>
            <w:r>
              <w:rPr>
                <w:sz w:val="16"/>
              </w:rPr>
              <w:t>Langues</w:t>
            </w:r>
          </w:p>
          <w:p>
            <w:pPr>
              <w:pStyle w:val="TTGCell"/>
              <w:keepNext w:val="0"/>
              <w:keepLines/>
              <w:ind w:left="170" w:hanging="170"/>
            </w:pPr>
            <w:r>
              <w:rPr>
                <w:b/>
                <w:color w:val="00A676"/>
                <w:sz w:val="16"/>
              </w:rPr>
              <w:t xml:space="preserve">• </w:t>
            </w:r>
            <w:r>
              <w:rPr>
                <w:sz w:val="16"/>
              </w:rPr>
              <w:t>Sensibilité des données</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IA03   </w:t>
            </w:r>
            <w:r>
              <w:rPr>
                <w:b/>
                <w:color w:val="FFFFFF"/>
                <w:sz w:val="20"/>
              </w:rPr>
              <w:t>Analyse de données et modèle prédictif simple</w:t>
            </w:r>
            <w:r>
              <w:rPr>
                <w:b/>
                <w:color w:val="FFFFFF"/>
                <w:sz w:val="19"/>
              </w:rPr>
              <w:tab/>
              <w:t>1 500 000 – 2 950 000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Exploration de données, indicateurs et premier modèle de prévision (ventes, demande, retards…).</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Audit de la qualité des données</w:t>
            </w:r>
          </w:p>
          <w:p>
            <w:pPr>
              <w:pStyle w:val="TTGCell"/>
              <w:keepNext/>
              <w:keepLines/>
              <w:ind w:left="170" w:hanging="170"/>
            </w:pPr>
            <w:r>
              <w:rPr>
                <w:b/>
                <w:color w:val="00A676"/>
                <w:sz w:val="16"/>
              </w:rPr>
              <w:t xml:space="preserve">• </w:t>
            </w:r>
            <w:r>
              <w:rPr>
                <w:sz w:val="16"/>
              </w:rPr>
              <w:t>Analyse exploratoire</w:t>
            </w:r>
          </w:p>
          <w:p>
            <w:pPr>
              <w:pStyle w:val="TTGCell"/>
              <w:keepNext/>
              <w:keepLines/>
              <w:ind w:left="170" w:hanging="170"/>
            </w:pPr>
            <w:r>
              <w:rPr>
                <w:b/>
                <w:color w:val="00A676"/>
                <w:sz w:val="16"/>
              </w:rPr>
              <w:t xml:space="preserve">• </w:t>
            </w:r>
            <w:r>
              <w:rPr>
                <w:sz w:val="16"/>
              </w:rPr>
              <w:t>Un modèle prédictif simple et documenté</w:t>
            </w:r>
          </w:p>
          <w:p>
            <w:pPr>
              <w:pStyle w:val="TTGCell"/>
              <w:keepNext/>
              <w:keepLines/>
              <w:ind w:left="170" w:hanging="170"/>
            </w:pPr>
            <w:r>
              <w:rPr>
                <w:b/>
                <w:color w:val="00A676"/>
                <w:sz w:val="16"/>
              </w:rPr>
              <w:t xml:space="preserve">• </w:t>
            </w:r>
            <w:r>
              <w:rPr>
                <w:sz w:val="16"/>
              </w:rPr>
              <w:t>Visualisation des résultats</w:t>
            </w:r>
          </w:p>
          <w:p>
            <w:pPr>
              <w:pStyle w:val="TTGCell"/>
              <w:keepNext/>
              <w:keepLines/>
              <w:ind w:left="170" w:hanging="170"/>
            </w:pPr>
            <w:r>
              <w:rPr>
                <w:b/>
                <w:color w:val="00A676"/>
                <w:sz w:val="16"/>
              </w:rPr>
              <w:t xml:space="preserve">• </w:t>
            </w:r>
            <w:r>
              <w:rPr>
                <w:sz w:val="16"/>
              </w:rPr>
              <w:t>Restitution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Rapport d’analyse</w:t>
            </w:r>
          </w:p>
          <w:p>
            <w:pPr>
              <w:pStyle w:val="TTGCell"/>
              <w:keepNext/>
              <w:keepLines/>
              <w:ind w:left="170" w:hanging="170"/>
            </w:pPr>
            <w:r>
              <w:rPr>
                <w:b/>
                <w:color w:val="00A676"/>
                <w:sz w:val="16"/>
              </w:rPr>
              <w:t xml:space="preserve">• </w:t>
            </w:r>
            <w:r>
              <w:rPr>
                <w:sz w:val="16"/>
              </w:rPr>
              <w:t>Modèle et notebook documentés</w:t>
            </w:r>
          </w:p>
          <w:p>
            <w:pPr>
              <w:pStyle w:val="TTGCell"/>
              <w:keepNext/>
              <w:keepLines/>
              <w:ind w:left="170" w:hanging="170"/>
            </w:pPr>
            <w:r>
              <w:rPr>
                <w:b/>
                <w:color w:val="00A676"/>
                <w:sz w:val="16"/>
              </w:rPr>
              <w:t xml:space="preserve">• </w:t>
            </w:r>
            <w:r>
              <w:rPr>
                <w:sz w:val="16"/>
              </w:rPr>
              <w:t>Tableau de bord</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4 à 7 semaines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40 % à la commande, 30 % à la validation de la maquette ou du prototype, 30 % à la livraison.</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Collecte de données</w:t>
            </w:r>
          </w:p>
          <w:p>
            <w:pPr>
              <w:pStyle w:val="TTGCell"/>
              <w:keepNext w:val="0"/>
              <w:keepLines/>
              <w:ind w:left="170" w:hanging="170"/>
            </w:pPr>
            <w:r>
              <w:rPr>
                <w:b/>
                <w:color w:val="00A676"/>
                <w:sz w:val="16"/>
              </w:rPr>
              <w:t xml:space="preserve">• </w:t>
            </w:r>
            <w:r>
              <w:rPr>
                <w:sz w:val="16"/>
              </w:rPr>
              <w:t>Mise en production à grande échelle</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Volume et qualité des données</w:t>
            </w:r>
          </w:p>
          <w:p>
            <w:pPr>
              <w:pStyle w:val="TTGCell"/>
              <w:keepNext w:val="0"/>
              <w:keepLines/>
              <w:ind w:left="170" w:hanging="170"/>
            </w:pPr>
            <w:r>
              <w:rPr>
                <w:b/>
                <w:color w:val="00A676"/>
                <w:sz w:val="16"/>
              </w:rPr>
              <w:t xml:space="preserve">• </w:t>
            </w:r>
            <w:r>
              <w:rPr>
                <w:sz w:val="16"/>
              </w:rPr>
              <w:t>Nombre de variables</w:t>
            </w:r>
          </w:p>
          <w:p>
            <w:pPr>
              <w:pStyle w:val="TTGCell"/>
              <w:keepNext w:val="0"/>
              <w:keepLines/>
              <w:ind w:left="170" w:hanging="170"/>
            </w:pPr>
            <w:r>
              <w:rPr>
                <w:b/>
                <w:color w:val="00A676"/>
                <w:sz w:val="16"/>
              </w:rPr>
              <w:t xml:space="preserve">• </w:t>
            </w:r>
            <w:r>
              <w:rPr>
                <w:sz w:val="16"/>
              </w:rPr>
              <w:t>Exigences d’explicabilité</w:t>
            </w:r>
          </w:p>
        </w:tc>
      </w:tr>
    </w:tbl>
    <w:p>
      <w:pPr>
        <w:spacing w:after="140"/>
      </w:pPr>
    </w:p>
    <w:tbl>
      <w:tblPr>
        <w:jc w:val="center"/>
        <w:tblLayout w:type="fixed"/>
        <w:tblLook w:firstColumn="1" w:firstRow="1" w:lastColumn="0" w:lastRow="0" w:noHBand="0" w:noVBand="1" w:val="04A0"/>
        <w:tblLayout w:type="fixed"/>
        <w:tblW w:w="9639" w:type="dxa"/>
      </w:tblPr>
      <w:tblGrid>
        <w:gridCol w:w="4819"/>
        <w:gridCol w:w="4819"/>
      </w:tblGrid>
      <w:tr>
        <w:trPr>
          <w:cantSplit/>
        </w:trPr>
        <w:tc>
          <w:tcPr>
            <w:tcW w:type="dxa" w:w="9638"/>
            <w:gridSpan w:val="2"/>
            <w:shd w:val="clear" w:color="auto" w:fill="0B5A45"/>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tabs>
                <w:tab w:pos="9383" w:val="right"/>
              </w:tabs>
            </w:pPr>
            <w:r>
              <w:rPr>
                <w:b/>
                <w:color w:val="9BE3C8"/>
                <w:sz w:val="17"/>
              </w:rPr>
              <w:t xml:space="preserve">IA04   </w:t>
            </w:r>
            <w:r>
              <w:rPr>
                <w:b/>
                <w:color w:val="FFFFFF"/>
                <w:sz w:val="20"/>
              </w:rPr>
              <w:t>Atelier « Opportunités IA » pour la direction</w:t>
            </w:r>
            <w:r>
              <w:rPr>
                <w:b/>
                <w:color w:val="FFFFFF"/>
                <w:sz w:val="19"/>
              </w:rPr>
              <w:tab/>
              <w:t>375 000 – 750 000 FCFA</w:t>
            </w:r>
          </w:p>
        </w:tc>
      </w:tr>
      <w:tr>
        <w:trPr>
          <w:cantSplit/>
        </w:trPr>
        <w:tc>
          <w:tcPr>
            <w:tcW w:type="dxa" w:w="9638"/>
            <w:gridSpan w:val="2"/>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shd w:val="clear" w:color="auto" w:fill="E8F4EF"/>
          </w:tcPr>
          <w:p>
            <w:pPr>
              <w:pStyle w:val="TTGCell"/>
              <w:keepNext/>
              <w:keepLines/>
            </w:pPr>
            <w:r>
              <w:rPr>
                <w:sz w:val="17"/>
              </w:rPr>
              <w:t>Atelier d’une journée pour identifier les usages réalistes de l’IA, les risques et un plan d’essai.</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CONTENU INCLUS</w:t>
            </w:r>
          </w:p>
          <w:p>
            <w:pPr>
              <w:pStyle w:val="TTGCell"/>
              <w:keepNext/>
              <w:keepLines/>
              <w:ind w:left="170" w:hanging="170"/>
            </w:pPr>
            <w:r>
              <w:rPr>
                <w:b/>
                <w:color w:val="00A676"/>
                <w:sz w:val="16"/>
              </w:rPr>
              <w:t xml:space="preserve">• </w:t>
            </w:r>
            <w:r>
              <w:rPr>
                <w:sz w:val="16"/>
              </w:rPr>
              <w:t>Préparation avec la direction</w:t>
            </w:r>
          </w:p>
          <w:p>
            <w:pPr>
              <w:pStyle w:val="TTGCell"/>
              <w:keepNext/>
              <w:keepLines/>
              <w:ind w:left="170" w:hanging="170"/>
            </w:pPr>
            <w:r>
              <w:rPr>
                <w:b/>
                <w:color w:val="00A676"/>
                <w:sz w:val="16"/>
              </w:rPr>
              <w:t xml:space="preserve">• </w:t>
            </w:r>
            <w:r>
              <w:rPr>
                <w:sz w:val="16"/>
              </w:rPr>
              <w:t>Atelier d’une journée (jusqu’à 12 participants)</w:t>
            </w:r>
          </w:p>
          <w:p>
            <w:pPr>
              <w:pStyle w:val="TTGCell"/>
              <w:keepNext/>
              <w:keepLines/>
              <w:ind w:left="170" w:hanging="170"/>
            </w:pPr>
            <w:r>
              <w:rPr>
                <w:b/>
                <w:color w:val="00A676"/>
                <w:sz w:val="16"/>
              </w:rPr>
              <w:t xml:space="preserve">• </w:t>
            </w:r>
            <w:r>
              <w:rPr>
                <w:sz w:val="16"/>
              </w:rPr>
              <w:t>Matrice d’opportunités et de risques</w:t>
            </w:r>
          </w:p>
          <w:p>
            <w:pPr>
              <w:pStyle w:val="TTGCell"/>
              <w:keepNext/>
              <w:keepLines/>
              <w:ind w:left="170" w:hanging="170"/>
            </w:pPr>
            <w:r>
              <w:rPr>
                <w:b/>
                <w:color w:val="00A676"/>
                <w:sz w:val="16"/>
              </w:rPr>
              <w:t xml:space="preserve">• </w:t>
            </w:r>
            <w:r>
              <w:rPr>
                <w:sz w:val="16"/>
              </w:rPr>
              <w:t>Plan de pilote sur 90 jours</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LIVRABLES</w:t>
            </w:r>
          </w:p>
          <w:p>
            <w:pPr>
              <w:pStyle w:val="TTGCell"/>
              <w:keepNext/>
              <w:keepLines/>
              <w:ind w:left="170" w:hanging="170"/>
            </w:pPr>
            <w:r>
              <w:rPr>
                <w:b/>
                <w:color w:val="00A676"/>
                <w:sz w:val="16"/>
              </w:rPr>
              <w:t xml:space="preserve">• </w:t>
            </w:r>
            <w:r>
              <w:rPr>
                <w:sz w:val="16"/>
              </w:rPr>
              <w:t>Support d’atelier</w:t>
            </w:r>
          </w:p>
          <w:p>
            <w:pPr>
              <w:pStyle w:val="TTGCell"/>
              <w:keepNext/>
              <w:keepLines/>
              <w:ind w:left="170" w:hanging="170"/>
            </w:pPr>
            <w:r>
              <w:rPr>
                <w:b/>
                <w:color w:val="00A676"/>
                <w:sz w:val="16"/>
              </w:rPr>
              <w:t xml:space="preserve">• </w:t>
            </w:r>
            <w:r>
              <w:rPr>
                <w:sz w:val="16"/>
              </w:rPr>
              <w:t>Compte rendu et plan de pilote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DÉLAI INDICATIF</w:t>
            </w:r>
          </w:p>
          <w:p>
            <w:pPr>
              <w:pStyle w:val="TTGCell"/>
              <w:keepNext/>
              <w:keepLines/>
            </w:pPr>
            <w:r>
              <w:rPr>
                <w:sz w:val="16"/>
              </w:rPr>
              <w:t>1 journée + 1 semaine de restitution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keepLines/>
              <w:spacing w:after="40"/>
            </w:pPr>
            <w:r>
              <w:rPr>
                <w:b/>
                <w:color w:val="0B5A45"/>
                <w:sz w:val="14"/>
                <w:spacing w:val="12"/>
              </w:rPr>
              <w:t>CONDITIONS DE PAIEMENT</w:t>
            </w:r>
          </w:p>
          <w:p>
            <w:pPr>
              <w:pStyle w:val="TTGCell"/>
              <w:keepNext/>
              <w:keepLines/>
            </w:pPr>
            <w:r>
              <w:rPr>
                <w:sz w:val="16"/>
              </w:rPr>
              <w:t>Paiement intégral à la commande.</w:t>
            </w:r>
          </w:p>
        </w:tc>
      </w:tr>
      <w:tr>
        <w:trPr>
          <w:cantSplit/>
        </w:trPr>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ÉLÉMENTS NON INCLUS</w:t>
            </w:r>
          </w:p>
          <w:p>
            <w:pPr>
              <w:pStyle w:val="TTGCell"/>
              <w:keepNext w:val="0"/>
              <w:keepLines/>
              <w:ind w:left="170" w:hanging="170"/>
            </w:pPr>
            <w:r>
              <w:rPr>
                <w:b/>
                <w:color w:val="00A676"/>
                <w:sz w:val="16"/>
              </w:rPr>
              <w:t xml:space="preserve">• </w:t>
            </w:r>
            <w:r>
              <w:rPr>
                <w:sz w:val="16"/>
              </w:rPr>
              <w:t>Mise en œuvre des cas d’usage</w:t>
            </w:r>
          </w:p>
          <w:p>
            <w:pPr>
              <w:pStyle w:val="TTGCell"/>
              <w:keepNext w:val="0"/>
              <w:keepLines/>
              <w:ind w:left="170" w:hanging="170"/>
            </w:pPr>
            <w:r>
              <w:rPr>
                <w:b/>
                <w:color w:val="00A676"/>
                <w:sz w:val="16"/>
              </w:rPr>
              <w:t xml:space="preserve">• </w:t>
            </w:r>
            <w:r>
              <w:rPr>
                <w:sz w:val="16"/>
              </w:rPr>
              <w:t>Frais de salle et restauration</w:t>
            </w:r>
          </w:p>
        </w:tc>
        <w:tc>
          <w:tcPr>
            <w:tcW w:type="dxa" w:w="4819"/>
            <w:tcBorders>
              <w:top w:val="single" w:sz="4" w:space="0" w:color="D5DBE2"/>
              <w:left w:val="single" w:sz="4" w:space="0" w:color="D5DBE2"/>
              <w:bottom w:val="single" w:sz="4" w:space="0" w:color="D5DBE2"/>
              <w:right w:val="single" w:sz="4" w:space="0" w:color="D5DBE2"/>
            </w:tcBorders>
            <w:tcMar>
              <w:top w:w="70" w:type="dxa"/>
              <w:left w:w="120" w:type="dxa"/>
              <w:bottom w:w="70" w:type="dxa"/>
              <w:right w:w="120" w:type="dxa"/>
            </w:tcMar>
          </w:tcPr>
          <w:p>
            <w:pPr>
              <w:pStyle w:val="TTGCell"/>
              <w:keepNext w:val="0"/>
              <w:keepLines/>
              <w:spacing w:after="40"/>
            </w:pPr>
            <w:r>
              <w:rPr>
                <w:b/>
                <w:color w:val="0B5A45"/>
                <w:sz w:val="14"/>
                <w:spacing w:val="12"/>
              </w:rPr>
              <w:t>FACTEURS DE VARIATION DU TARIF</w:t>
            </w:r>
          </w:p>
          <w:p>
            <w:pPr>
              <w:pStyle w:val="TTGCell"/>
              <w:keepNext w:val="0"/>
              <w:keepLines/>
              <w:ind w:left="170" w:hanging="170"/>
            </w:pPr>
            <w:r>
              <w:rPr>
                <w:b/>
                <w:color w:val="00A676"/>
                <w:sz w:val="16"/>
              </w:rPr>
              <w:t xml:space="preserve">• </w:t>
            </w:r>
            <w:r>
              <w:rPr>
                <w:sz w:val="16"/>
              </w:rPr>
              <w:t>Nombre de participants</w:t>
            </w:r>
          </w:p>
          <w:p>
            <w:pPr>
              <w:pStyle w:val="TTGCell"/>
              <w:keepNext w:val="0"/>
              <w:keepLines/>
              <w:ind w:left="170" w:hanging="170"/>
            </w:pPr>
            <w:r>
              <w:rPr>
                <w:b/>
                <w:color w:val="00A676"/>
                <w:sz w:val="16"/>
              </w:rPr>
              <w:t xml:space="preserve">• </w:t>
            </w:r>
            <w:r>
              <w:rPr>
                <w:sz w:val="16"/>
              </w:rPr>
              <w:t>Lieu</w:t>
            </w:r>
          </w:p>
          <w:p>
            <w:pPr>
              <w:pStyle w:val="TTGCell"/>
              <w:keepNext w:val="0"/>
              <w:keepLines/>
              <w:ind w:left="170" w:hanging="170"/>
            </w:pPr>
            <w:r>
              <w:rPr>
                <w:b/>
                <w:color w:val="00A676"/>
                <w:sz w:val="16"/>
              </w:rPr>
              <w:t xml:space="preserve">• </w:t>
            </w:r>
            <w:r>
              <w:rPr>
                <w:sz w:val="16"/>
              </w:rPr>
              <w:t>Maturité numérique de l’organisation</w:t>
            </w:r>
          </w:p>
        </w:tc>
      </w:tr>
    </w:tbl>
    <w:p>
      <w:pPr>
        <w:spacing w:after="140"/>
      </w:pPr>
    </w:p>
    <w:p>
      <w:pPr>
        <w:pStyle w:val="Heading1"/>
        <w:pBdr>
          <w:bottom w:val="single" w:sz="6" w:space="4" w:color="00A676"/>
        </w:pBdr>
      </w:pPr>
      <w:r>
        <w:t>4. Options applicables</w:t>
      </w:r>
    </w:p>
    <w:tbl>
      <w:tblPr>
        <w:jc w:val="center"/>
        <w:tblLayout w:type="fixed"/>
        <w:tblLook w:firstColumn="1" w:firstRow="1" w:lastColumn="0" w:lastRow="0" w:noHBand="0" w:noVBand="1" w:val="04A0"/>
        <w:tblLayout w:type="fixed"/>
        <w:tblW w:w="9639" w:type="dxa"/>
      </w:tblPr>
      <w:tblGrid>
        <w:gridCol w:w="850"/>
        <w:gridCol w:w="4706"/>
        <w:gridCol w:w="1927"/>
        <w:gridCol w:w="2154"/>
      </w:tblGrid>
      <w:tr>
        <w:trPr>
          <w:tblHeader w:val="true"/>
          <w:cantSplit/>
        </w:trPr>
        <w:tc>
          <w:tcPr>
            <w:tcW w:type="dxa" w:w="850"/>
            <w:shd w:val="clear" w:color="auto" w:fill="0B5A45"/>
            <w:tcMar>
              <w:top w:w="70" w:type="dxa"/>
              <w:left w:w="90" w:type="dxa"/>
              <w:bottom w:w="70" w:type="dxa"/>
              <w:right w:w="90" w:type="dxa"/>
            </w:tcMar>
            <w:vAlign w:val="center"/>
          </w:tcPr>
          <w:p>
            <w:pPr>
              <w:pStyle w:val="TTGCell"/>
            </w:pPr>
            <w:r>
              <w:rPr>
                <w:b/>
                <w:color w:val="FFFFFF"/>
                <w:sz w:val="17"/>
              </w:rPr>
              <w:t>Code</w:t>
            </w:r>
          </w:p>
        </w:tc>
        <w:tc>
          <w:tcPr>
            <w:tcW w:type="dxa" w:w="4706"/>
            <w:shd w:val="clear" w:color="auto" w:fill="0B5A45"/>
            <w:tcMar>
              <w:top w:w="70" w:type="dxa"/>
              <w:left w:w="90" w:type="dxa"/>
              <w:bottom w:w="70" w:type="dxa"/>
              <w:right w:w="90" w:type="dxa"/>
            </w:tcMar>
            <w:vAlign w:val="center"/>
          </w:tcPr>
          <w:p>
            <w:pPr>
              <w:pStyle w:val="TTGCell"/>
            </w:pPr>
            <w:r>
              <w:rPr>
                <w:b/>
                <w:color w:val="FFFFFF"/>
                <w:sz w:val="17"/>
              </w:rPr>
              <w:t>Option ou supplément</w:t>
            </w:r>
          </w:p>
        </w:tc>
        <w:tc>
          <w:tcPr>
            <w:tcW w:type="dxa" w:w="1928"/>
            <w:shd w:val="clear" w:color="auto" w:fill="0B5A45"/>
            <w:tcMar>
              <w:top w:w="70" w:type="dxa"/>
              <w:left w:w="90" w:type="dxa"/>
              <w:bottom w:w="70" w:type="dxa"/>
              <w:right w:w="90" w:type="dxa"/>
            </w:tcMar>
            <w:vAlign w:val="center"/>
          </w:tcPr>
          <w:p>
            <w:pPr>
              <w:pStyle w:val="TTGCell"/>
              <w:jc w:val="right"/>
            </w:pPr>
            <w:r>
              <w:rPr>
                <w:b/>
                <w:color w:val="FFFFFF"/>
                <w:sz w:val="17"/>
              </w:rPr>
              <w:t>Prix indicatif HT</w:t>
            </w:r>
          </w:p>
        </w:tc>
        <w:tc>
          <w:tcPr>
            <w:tcW w:type="dxa" w:w="2154"/>
            <w:shd w:val="clear" w:color="auto" w:fill="0B5A45"/>
            <w:tcMar>
              <w:top w:w="70" w:type="dxa"/>
              <w:left w:w="90" w:type="dxa"/>
              <w:bottom w:w="70" w:type="dxa"/>
              <w:right w:w="90" w:type="dxa"/>
            </w:tcMar>
            <w:vAlign w:val="center"/>
          </w:tcPr>
          <w:p>
            <w:pPr>
              <w:pStyle w:val="TTGCell"/>
            </w:pPr>
            <w:r>
              <w:rPr>
                <w:b/>
                <w:color w:val="FFFFFF"/>
                <w:sz w:val="17"/>
              </w:rPr>
              <w:t>Unité ou condition</w:t>
            </w:r>
          </w:p>
        </w:tc>
      </w:tr>
      <w:tr>
        <w:trPr>
          <w:cantSplit/>
        </w:trPr>
        <w:tc>
          <w:tcPr>
            <w:tcW w:type="dxa" w:w="850"/>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b/>
                <w:sz w:val="17"/>
              </w:rPr>
              <w:t>OP11</w:t>
            </w:r>
          </w:p>
        </w:tc>
        <w:tc>
          <w:tcPr>
            <w:tcW w:type="dxa" w:w="4706"/>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Délai accéléré (urgence, selon faisabilité)</w:t>
            </w:r>
          </w:p>
        </w:tc>
        <w:tc>
          <w:tcPr>
            <w:tcW w:type="dxa" w:w="1928"/>
            <w:tcMar>
              <w:top w:w="55" w:type="dxa"/>
              <w:left w:w="90" w:type="dxa"/>
              <w:bottom w:w="55" w:type="dxa"/>
              <w:right w:w="90" w:type="dxa"/>
            </w:tcMar>
            <w:tcBorders>
              <w:top w:val="single" w:sz="4" w:space="0" w:color="D5DBE2"/>
              <w:left w:val="nil"/>
              <w:bottom w:val="single" w:sz="4" w:space="0" w:color="D5DBE2"/>
              <w:right w:val="nil"/>
            </w:tcBorders>
          </w:tcPr>
          <w:p>
            <w:pPr>
              <w:pStyle w:val="TTGCell"/>
              <w:jc w:val="right"/>
            </w:pPr>
            <w:r>
              <w:rPr>
                <w:sz w:val="17"/>
              </w:rPr>
              <w:t>Sur devis</w:t>
            </w:r>
          </w:p>
        </w:tc>
        <w:tc>
          <w:tcPr>
            <w:tcW w:type="dxa" w:w="2154"/>
            <w:tcMar>
              <w:top w:w="55" w:type="dxa"/>
              <w:left w:w="90" w:type="dxa"/>
              <w:bottom w:w="55" w:type="dxa"/>
              <w:right w:w="90" w:type="dxa"/>
            </w:tcMar>
            <w:tcBorders>
              <w:top w:val="single" w:sz="4" w:space="0" w:color="D5DBE2"/>
              <w:left w:val="nil"/>
              <w:bottom w:val="single" w:sz="4" w:space="0" w:color="D5DBE2"/>
              <w:right w:val="nil"/>
            </w:tcBorders>
          </w:tcPr>
          <w:p>
            <w:pPr>
              <w:pStyle w:val="TTGCell"/>
            </w:pPr>
            <w:r>
              <w:rPr>
                <w:sz w:val="17"/>
              </w:rPr>
              <w:t>+25 % du montant HT</w:t>
            </w:r>
          </w:p>
        </w:tc>
      </w:tr>
      <w:tr>
        <w:trPr>
          <w:cantSplit/>
        </w:trPr>
        <w:tc>
          <w:tcPr>
            <w:tcW w:type="dxa" w:w="850"/>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b/>
                <w:sz w:val="17"/>
              </w:rPr>
              <w:t>OP12</w:t>
            </w:r>
          </w:p>
        </w:tc>
        <w:tc>
          <w:tcPr>
            <w:tcW w:type="dxa" w:w="4706"/>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Déplacement hors Brazzaville</w:t>
            </w:r>
          </w:p>
        </w:tc>
        <w:tc>
          <w:tcPr>
            <w:tcW w:type="dxa" w:w="1928"/>
            <w:tcMar>
              <w:top w:w="55" w:type="dxa"/>
              <w:left w:w="90" w:type="dxa"/>
              <w:bottom w:w="55" w:type="dxa"/>
              <w:right w:w="90" w:type="dxa"/>
            </w:tcMar>
            <w:tcBorders>
              <w:top w:val="nil"/>
              <w:left w:val="nil"/>
              <w:bottom w:val="single" w:sz="4" w:space="0" w:color="D5DBE2"/>
              <w:right w:val="nil"/>
            </w:tcBorders>
            <w:shd w:val="clear" w:color="auto" w:fill="F4F6F9"/>
          </w:tcPr>
          <w:p>
            <w:pPr>
              <w:pStyle w:val="TTGCell"/>
              <w:jc w:val="right"/>
            </w:pPr>
            <w:r>
              <w:rPr>
                <w:sz w:val="17"/>
              </w:rPr>
              <w:t>Sur devis</w:t>
            </w:r>
          </w:p>
        </w:tc>
        <w:tc>
          <w:tcPr>
            <w:tcW w:type="dxa" w:w="2154"/>
            <w:tcMar>
              <w:top w:w="55" w:type="dxa"/>
              <w:left w:w="90" w:type="dxa"/>
              <w:bottom w:w="55" w:type="dxa"/>
              <w:right w:w="90" w:type="dxa"/>
            </w:tcMar>
            <w:tcBorders>
              <w:top w:val="nil"/>
              <w:left w:val="nil"/>
              <w:bottom w:val="single" w:sz="4" w:space="0" w:color="D5DBE2"/>
              <w:right w:val="nil"/>
            </w:tcBorders>
            <w:shd w:val="clear" w:color="auto" w:fill="F4F6F9"/>
          </w:tcPr>
          <w:p>
            <w:pPr>
              <w:pStyle w:val="TTGCell"/>
            </w:pPr>
            <w:r>
              <w:rPr>
                <w:sz w:val="17"/>
              </w:rPr>
              <w:t>frais réels justifiés + indemnité journalière à convenir</w:t>
            </w:r>
          </w:p>
        </w:tc>
      </w:tr>
    </w:tbl>
    <w:p>
      <w:pPr>
        <w:spacing w:after="80"/>
      </w:pPr>
    </w:p>
    <w:p>
      <w:r>
        <w:t>Les options sont facturées en sus de la prestation principale, sur la base d’un devis. Les prix sont indicatifs et provisoires.</w:t>
      </w:r>
    </w:p>
    <w:p>
      <w:pPr>
        <w:pStyle w:val="Heading1"/>
        <w:pBdr>
          <w:bottom w:val="single" w:sz="6" w:space="4" w:color="00A676"/>
        </w:pBdr>
      </w:pPr>
      <w:r>
        <w:t>5. Conditions spécifiques et éléments à valider</w:t>
      </w:r>
    </w:p>
    <w:p>
      <w:pPr>
        <w:pStyle w:val="Heading2"/>
      </w:pPr>
      <w:r>
        <w:t>Conditions générales applicables</w:t>
      </w:r>
    </w:p>
    <w:p>
      <w:pPr>
        <w:pStyle w:val="ListBullet"/>
      </w:pPr>
      <w:r>
        <w:t>Tous les prix sont exprimés en francs CFA (FCFA), hors taxes. Le régime et le taux de TVA applicables sont à confirmer avec l’administration fiscale ou un expert-comptable.</w:t>
      </w:r>
    </w:p>
    <w:p>
      <w:pPr>
        <w:pStyle w:val="ListBullet"/>
      </w:pPr>
      <w:r>
        <w:t xml:space="preserve">Les prix présentés sont des </w:t>
      </w:r>
      <w:r>
        <w:rPr>
          <w:b/>
        </w:rPr>
        <w:t>tarifs indicatifs</w:t>
      </w:r>
      <w:r>
        <w:t xml:space="preserve"> (propositions de travail provisoires). Le prix définitif est celui du devis signé par les deux parties.</w:t>
      </w:r>
    </w:p>
    <w:p>
      <w:pPr>
        <w:pStyle w:val="ListBullet"/>
      </w:pPr>
      <w:r>
        <w:t xml:space="preserve">Un devis détaillé, valable </w:t>
      </w:r>
      <w:r>
        <w:rPr>
          <w:color w:val="8A5A00"/>
          <w:shd w:val="clear" w:color="auto" w:fill="FFF4D6"/>
        </w:rPr>
        <w:t>[à compléter : 30]</w:t>
      </w:r>
      <w:r>
        <w:t xml:space="preserve"> jours, précise le périmètre, les livrables, le calendrier et les modalités de paiement.</w:t>
      </w:r>
    </w:p>
    <w:p>
      <w:pPr>
        <w:pStyle w:val="ListBullet"/>
      </w:pPr>
      <w:r>
        <w:t>Les modalités de paiement sont adaptées à chaque contrat. Un acompte de 75 % et un solde de 25 % peuvent être proposés pour un projet court, uniquement avec l’accord écrit des deux parties ; ce schéma n’est pas systématique.</w:t>
      </w:r>
    </w:p>
    <w:p>
      <w:pPr>
        <w:pStyle w:val="Heading2"/>
      </w:pPr>
      <w:r>
        <w:t>Éléments à valider avant engagement</w:t>
      </w:r>
    </w:p>
    <w:p>
      <w:pPr>
        <w:pStyle w:val="ListBullet"/>
      </w:pPr>
      <w:r>
        <w:t>Données personnelles : cadre de protection à vérifier avant tout traitement par un service d’IA.</w:t>
      </w:r>
    </w:p>
    <w:p>
      <w:pPr>
        <w:pStyle w:val="ListBullet"/>
      </w:pPr>
      <w:r>
        <w:t>Services d’IA et d’automatisation tiers : abonnements et lieu de traitement des données à la charge et à l’appréciation du client.</w:t>
      </w:r>
    </w:p>
    <w:p>
      <w:pPr>
        <w:pStyle w:val="ListBullet"/>
      </w:pPr>
      <w:r>
        <w:t>Fiabilité : aucune garantie d’exactitude des réponses produites par l’IA ; contrôle humain prévu.</w:t>
      </w:r>
    </w:p>
    <w:p>
      <w:pPr>
        <w:pStyle w:val="ListBullet"/>
      </w:pPr>
      <w:r>
        <w:t>Signature électronique : valeur légale à vérifier.</w:t>
      </w:r>
    </w:p>
    <w:tbl>
      <w:tblPr>
        <w:jc w:val="center"/>
        <w:tblLayout w:type="fixed"/>
        <w:tblLook w:firstColumn="1" w:firstRow="1" w:lastColumn="0" w:lastRow="0" w:noHBand="0" w:noVBand="1" w:val="04A0"/>
        <w:tblLayout w:type="fixed"/>
        <w:tblW w:w="9639" w:type="dxa"/>
      </w:tblPr>
      <w:tblGrid>
        <w:gridCol w:w="2608"/>
        <w:gridCol w:w="7031"/>
      </w:tblGrid>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Validité de la grille</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 : date de validation et durée]</w:t>
            </w:r>
          </w:p>
        </w:tc>
      </w:tr>
      <w:tr>
        <w:trPr>
          <w:cantSplit/>
        </w:trPr>
        <w:tc>
          <w:tcPr>
            <w:tcW w:type="dxa" w:w="2608"/>
            <w:shd w:val="clear" w:color="auto" w:fill="E8F4EF"/>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b/>
                <w:color w:val="063D2E"/>
                <w:sz w:val="17"/>
              </w:rPr>
              <w:t>Contact commercial</w:t>
            </w:r>
          </w:p>
        </w:tc>
        <w:tc>
          <w:tcPr>
            <w:tcW w:type="dxa" w:w="7030"/>
            <w:tcMar>
              <w:top w:w="60" w:type="dxa"/>
              <w:left w:w="100" w:type="dxa"/>
              <w:bottom w:w="60" w:type="dxa"/>
              <w:right w:w="100" w:type="dxa"/>
            </w:tcMar>
            <w:tcBorders>
              <w:top w:val="single" w:sz="4" w:space="0" w:color="D5DBE2"/>
              <w:left w:val="single" w:sz="4" w:space="0" w:color="D5DBE2"/>
              <w:bottom w:val="single" w:sz="4" w:space="0" w:color="D5DBE2"/>
              <w:right w:val="single" w:sz="4" w:space="0" w:color="D5DBE2"/>
            </w:tcBorders>
          </w:tcPr>
          <w:p>
            <w:pPr>
              <w:pStyle w:val="TTGCell"/>
            </w:pPr>
            <w:r>
              <w:rPr>
                <w:color w:val="8A5A00"/>
                <w:sz w:val="17"/>
                <w:shd w:val="clear" w:color="auto" w:fill="FFF4D6"/>
              </w:rPr>
              <w:t>[À compléter]</w:t>
            </w:r>
          </w:p>
        </w:tc>
      </w:tr>
    </w:tbl>
    <w:p>
      <w:pPr>
        <w:spacing w:after="80"/>
      </w:pPr>
    </w:p>
    <w:sectPr w:rsidR="00FC693F" w:rsidRPr="0006063C" w:rsidSect="00034616">
      <w:headerReference w:type="default" r:id="rId9"/>
      <w:footerReference w:type="default" r:id="rId10"/>
      <w:pgSz w:w="11906" w:h="16838"/>
      <w:pgMar w:top="1417" w:right="1134" w:bottom="1191" w:left="113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lear"/>
        <w:tab w:pos="9360" w:val="clear"/>
        <w:tab w:pos="9638" w:val="right"/>
      </w:tabs>
      <w:pBdr>
        <w:top w:val="single" w:sz="4" w:space="6" w:color="D5DBE2"/>
      </w:pBdr>
    </w:pPr>
    <w:r>
      <w:rPr>
        <w:color w:val="626262"/>
        <w:sz w:val="15"/>
      </w:rPr>
      <w:t xml:space="preserve">TechnologyTrade Group  ·  TTG-GT-02-C05  ·  v1.0 — Projet  ·  </w:t>
    </w:r>
    <w:r>
      <w:rPr>
        <w:b/>
        <w:color w:val="0B5A45"/>
        <w:sz w:val="15"/>
      </w:rPr>
      <w:t>Diffusion contrôlée</w:t>
    </w:r>
    <w:r>
      <w:rPr>
        <w:color w:val="626262"/>
        <w:sz w:val="15"/>
      </w:rPr>
      <w:tab/>
      <w:t xml:space="preserve">Page </w:t>
    </w:r>
    <w:r>
      <w:fldChar w:fldCharType="begin"/>
    </w:r>
    <w:r>
      <w:instrText xml:space="preserve"> PAGE </w:instrText>
    </w:r>
    <w:r>
      <w:fldChar w:fldCharType="separate"/>
    </w:r>
    <w:r>
      <w:t>1</w:t>
    </w:r>
    <w:r>
      <w:fldChar w:fldCharType="end"/>
    </w:r>
    <w:r>
      <w:rPr>
        <w:color w:val="626262"/>
        <w:sz w:val="15"/>
      </w:rPr>
      <w:t xml:space="preserve"> sur </w:t>
    </w:r>
    <w:r>
      <w:fldChar w:fldCharType="begin"/>
    </w:r>
    <w:r>
      <w:instrText xml:space="preserve"> NUMPAGES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4680" w:val="clear"/>
        <w:tab w:pos="9360" w:val="clear"/>
        <w:tab w:pos="9638" w:val="right"/>
      </w:tabs>
      <w:spacing w:after="0"/>
      <w:pBdr>
        <w:bottom w:val="single" w:sz="6" w:space="6" w:color="00A676"/>
      </w:pBdr>
    </w:pPr>
    <w:r>
      <w:drawing>
        <wp:inline xmlns:a="http://schemas.openxmlformats.org/drawingml/2006/main" xmlns:pic="http://schemas.openxmlformats.org/drawingml/2006/picture">
          <wp:extent cx="1207989" cy="378000"/>
          <wp:docPr id="1" name="Picture 1"/>
          <wp:cNvGraphicFramePr>
            <a:graphicFrameLocks noChangeAspect="1"/>
          </wp:cNvGraphicFramePr>
          <a:graphic>
            <a:graphicData uri="http://schemas.openxmlformats.org/drawingml/2006/picture">
              <pic:pic>
                <pic:nvPicPr>
                  <pic:cNvPr id="0" name="Logo_horizontal_couleur.png"/>
                  <pic:cNvPicPr/>
                </pic:nvPicPr>
                <pic:blipFill>
                  <a:blip r:embed="rId1"/>
                  <a:stretch>
                    <a:fillRect/>
                  </a:stretch>
                </pic:blipFill>
                <pic:spPr>
                  <a:xfrm>
                    <a:off x="0" y="0"/>
                    <a:ext cx="1207989" cy="378000"/>
                  </a:xfrm>
                  <a:prstGeom prst="rect"/>
                </pic:spPr>
              </pic:pic>
            </a:graphicData>
          </a:graphic>
        </wp:inline>
      </w:drawing>
    </w:r>
    <w:r>
      <w:rPr>
        <w:color w:val="626262"/>
        <w:sz w:val="15"/>
      </w:rPr>
      <w:tab/>
      <w:t>Grille tarifaire · catégorie 5 · Intelligence artificielle et automatisation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before="0" w:line="283" w:lineRule="auto"/>
    </w:pPr>
    <w:rPr>
      <w:rFonts w:ascii="Montserrat" w:hAnsi="Montserrat" w:cs="Montserrat" w:eastAsia="Montserrat"/>
      <w:color w:val="1E1E1E"/>
      <w:sz w:val="19"/>
      <w:lang w:val="fr-FR" w:eastAsia="fr-F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160" w:line="264" w:lineRule="auto"/>
      <w:outlineLvl w:val="0"/>
    </w:pPr>
    <w:rPr>
      <w:rFonts w:ascii="Montserrat" w:hAnsi="Montserrat" w:cs="Montserrat" w:eastAsia="Montserrat"/>
      <w:b/>
      <w:bCs/>
      <w:i w:val="0"/>
      <w:color w:val="063D2E"/>
      <w:sz w:val="34"/>
      <w:szCs w:val="28"/>
    </w:rPr>
  </w:style>
  <w:style w:type="paragraph" w:styleId="Heading2">
    <w:name w:val="heading 2"/>
    <w:basedOn w:val="Normal"/>
    <w:next w:val="Normal"/>
    <w:link w:val="Heading2Char"/>
    <w:uiPriority w:val="9"/>
    <w:unhideWhenUsed/>
    <w:qFormat/>
    <w:rsid w:val="00FC693F"/>
    <w:pPr>
      <w:keepNext/>
      <w:keepLines/>
      <w:spacing w:before="280" w:after="100" w:line="264" w:lineRule="auto"/>
      <w:outlineLvl w:val="1"/>
    </w:pPr>
    <w:rPr>
      <w:rFonts w:ascii="Montserrat" w:hAnsi="Montserrat" w:cs="Montserrat" w:eastAsia="Montserrat"/>
      <w:b/>
      <w:bCs/>
      <w:i w:val="0"/>
      <w:color w:val="0B5A45"/>
      <w:sz w:val="25"/>
      <w:szCs w:val="26"/>
    </w:rPr>
  </w:style>
  <w:style w:type="paragraph" w:styleId="Heading3">
    <w:name w:val="heading 3"/>
    <w:basedOn w:val="Normal"/>
    <w:next w:val="Normal"/>
    <w:link w:val="Heading3Char"/>
    <w:uiPriority w:val="9"/>
    <w:unhideWhenUsed/>
    <w:qFormat/>
    <w:rsid w:val="00FC693F"/>
    <w:pPr>
      <w:keepNext/>
      <w:keepLines/>
      <w:spacing w:before="200" w:after="60" w:line="264" w:lineRule="auto"/>
      <w:outlineLvl w:val="2"/>
    </w:pPr>
    <w:rPr>
      <w:rFonts w:ascii="Montserrat" w:hAnsi="Montserrat" w:cs="Montserrat" w:eastAsia="Montserrat"/>
      <w:b/>
      <w:bCs/>
      <w:i w:val="0"/>
      <w:color w:val="0B5A4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line="276" w:lineRule="auto"/>
      <w:contextualSpacing/>
    </w:pPr>
    <w:rPr>
      <w:rFonts w:ascii="Montserrat" w:hAnsi="Montserrat"/>
      <w:sz w:val="19"/>
    </w:rPr>
  </w:style>
  <w:style w:type="paragraph" w:styleId="ListBullet2">
    <w:name w:val="List Bullet 2"/>
    <w:basedOn w:val="Normal"/>
    <w:uiPriority w:val="99"/>
    <w:unhideWhenUsed/>
    <w:rsid w:val="00326F90"/>
    <w:pPr>
      <w:numPr>
        <w:numId w:val="2"/>
      </w:numPr>
      <w:spacing w:after="50" w:line="276" w:lineRule="auto"/>
      <w:contextualSpacing/>
    </w:pPr>
    <w:rPr>
      <w:rFonts w:ascii="Montserrat" w:hAnsi="Montserrat"/>
      <w:sz w:val="19"/>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spacing w:after="80" w:before="120"/>
      <w:ind w:left="0"/>
    </w:pPr>
    <w:rPr>
      <w:b/>
      <w:color w:val="063D2E"/>
      <w:sz w:val="20"/>
    </w:rPr>
  </w:style>
  <w:style w:type="paragraph" w:customStyle="1" w:styleId="TOC2">
    <w:name w:val="TOC 2"/>
    <w:basedOn w:val="Normal"/>
    <w:pPr>
      <w:spacing w:after="60" w:before="0"/>
      <w:ind w:left="340"/>
    </w:pPr>
    <w:rPr>
      <w:b w:val="0"/>
      <w:color w:val="1E1E1E"/>
      <w:sz w:val="18"/>
    </w:rPr>
  </w:style>
  <w:style w:type="paragraph" w:customStyle="1" w:styleId="TTGCell">
    <w:name w:val="TTG Cell"/>
    <w:basedOn w:val="Normal"/>
    <w:pPr>
      <w:spacing w:after="30" w:before="0" w:line="264" w:lineRule="auto"/>
    </w:pPr>
    <w:rPr>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Grille tarifaire — Intelligence artificielle et automatisation</dc:title>
  <dc:subject>Catégorie 5 sur 8 · tarifs indicatifs en FCFA, hors taxes</dc:subject>
  <dc:creator>TechnologyTrade Group</dc:creator>
  <cp:keywords>TTG-GT-02-C05</cp:keywords>
  <dc:description>Document modifiable — champs à compléter surlignés</dc:description>
  <cp:lastModifiedBy/>
  <cp:revision>1</cp:revision>
  <dcterms:created xsi:type="dcterms:W3CDTF">2013-12-23T23:15:00Z</dcterms:created>
  <dcterms:modified xsi:type="dcterms:W3CDTF">2013-12-23T23:15:00Z</dcterms:modified>
  <cp:category/>
  <dc:language>fr-FR</dc:language>
</cp:coreProperties>
</file>