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Layout w:type="fixed"/>
        <w:tblW w:w="9639" w:type="dxa"/>
      </w:tblPr>
      <w:tblGrid>
        <w:gridCol w:w="9639"/>
      </w:tblGrid>
      <w:tr>
        <w:trPr>
          <w:trHeight w:val="6917" w:hRule="atLeast"/>
        </w:trPr>
        <w:tc>
          <w:tcPr>
            <w:tcW w:type="dxa" w:w="9638"/>
            <w:shd w:val="clear" w:color="auto" w:fill="063D2E"/>
            <w:tcMar>
              <w:top w:w="500" w:type="dxa"/>
              <w:left w:w="600" w:type="dxa"/>
              <w:bottom w:w="400" w:type="dxa"/>
              <w:right w:w="500" w:type="dxa"/>
            </w:tcMar>
            <w:vAlign w:val="top"/>
          </w:tcPr>
          <w:p>
            <w:pPr>
              <w:spacing w:after="1400"/>
            </w:pPr>
            <w:r>
              <w:drawing>
                <wp:inline xmlns:a="http://schemas.openxmlformats.org/drawingml/2006/main" xmlns:pic="http://schemas.openxmlformats.org/drawingml/2006/picture">
                  <wp:extent cx="2185885" cy="684000"/>
                  <wp:docPr id="1" name="Picture 1"/>
                  <wp:cNvGraphicFramePr>
                    <a:graphicFrameLocks noChangeAspect="1"/>
                  </wp:cNvGraphicFramePr>
                  <a:graphic>
                    <a:graphicData uri="http://schemas.openxmlformats.org/drawingml/2006/picture">
                      <pic:pic>
                        <pic:nvPicPr>
                          <pic:cNvPr id="0" name="Logo_horizontal_blanc.png"/>
                          <pic:cNvPicPr/>
                        </pic:nvPicPr>
                        <pic:blipFill>
                          <a:blip r:embed="rId11"/>
                          <a:stretch>
                            <a:fillRect/>
                          </a:stretch>
                        </pic:blipFill>
                        <pic:spPr>
                          <a:xfrm>
                            <a:off x="0" y="0"/>
                            <a:ext cx="2185885" cy="684000"/>
                          </a:xfrm>
                          <a:prstGeom prst="rect"/>
                        </pic:spPr>
                      </pic:pic>
                    </a:graphicData>
                  </a:graphic>
                </wp:inline>
              </w:drawing>
            </w:r>
          </w:p>
          <w:p>
            <w:pPr>
              <w:spacing w:after="200"/>
            </w:pPr>
            <w:r>
              <w:rPr>
                <w:b/>
                <w:color w:val="00A676"/>
                <w:sz w:val="20"/>
                <w:spacing w:val="40"/>
              </w:rPr>
              <w:t>GRILLE TARIFAIRE · CATÉGORIE 6</w:t>
            </w:r>
          </w:p>
          <w:p>
            <w:pPr>
              <w:spacing w:after="200" w:line="252" w:lineRule="auto"/>
            </w:pPr>
            <w:r>
              <w:rPr>
                <w:b/>
                <w:color w:val="FFFFFF"/>
                <w:sz w:val="56"/>
              </w:rPr>
              <w:t>Grille tarifaire — Formations et accompagnement</w:t>
            </w:r>
          </w:p>
          <w:p>
            <w:pPr>
              <w:spacing w:after="0" w:line="288" w:lineRule="auto"/>
            </w:pPr>
            <w:r>
              <w:rPr>
                <w:color w:val="D9EFE7"/>
                <w:sz w:val="24"/>
              </w:rPr>
              <w:t>Catégorie 6 sur 8 · tarifs indicatifs en FCFA, hors taxes</w:t>
            </w:r>
          </w:p>
        </w:tc>
      </w:tr>
    </w:tbl>
    <w:tbl>
      <w:tblPr>
        <w:jc w:val="center"/>
        <w:tblLayout w:type="fixed"/>
        <w:tblLook w:firstColumn="1" w:firstRow="1" w:lastColumn="0" w:lastRow="0" w:noHBand="0" w:noVBand="1" w:val="04A0"/>
        <w:tblLayout w:type="fixed"/>
        <w:tblW w:w="9639" w:type="dxa"/>
      </w:tblPr>
      <w:tblGrid>
        <w:gridCol w:w="9639"/>
      </w:tblGrid>
      <w:tr>
        <w:trPr>
          <w:trHeight w:val="125" w:hRule="exact"/>
        </w:trPr>
        <w:tc>
          <w:tcPr>
            <w:tcW w:type="dxa" w:w="9638"/>
            <w:shd w:val="clear" w:color="auto" w:fill="00A676"/>
          </w:tcPr>
          <w:p>
            <w:pPr>
              <w:spacing w:after="0"/>
            </w:pPr>
            <w:r>
              <w:rPr>
                <w:sz w:val="2"/>
              </w:rPr>
            </w:r>
          </w:p>
        </w:tc>
      </w:tr>
    </w:tbl>
    <w:p>
      <w:pPr>
        <w:spacing w:after="280"/>
      </w:pPr>
    </w:p>
    <w:tbl>
      <w:tblPr>
        <w:jc w:val="center"/>
        <w:tblLayout w:type="fixed"/>
        <w:tblLook w:firstColumn="1" w:firstRow="1" w:lastColumn="0" w:lastRow="0" w:noHBand="0" w:noVBand="1" w:val="04A0"/>
        <w:tblLayout w:type="fixed"/>
        <w:tblW w:w="9639" w:type="dxa"/>
      </w:tblPr>
      <w:tblGrid>
        <w:gridCol w:w="2381"/>
        <w:gridCol w:w="7257"/>
      </w:tblGrid>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RÉFÉRENCE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TTG-GT-02-C06</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VERSION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v1.0 — Projet</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DATE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Octobre 2026</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STATUT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Projet provisoire — à valider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DIFFUSION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Diffusion contrôlée — prospects, clients et partenaires</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ENTREPRISE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TechnologyTrade Group — République du Congo (Congo-Brazzaville)</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DIRIGEANT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Daril Roslain KINGUENGA (mention à vérifier avant tout usage officiel)</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ÉTABLI POUR</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Prospects, clients et partenaires — après validation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VALIDATION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color w:val="8A5A00"/>
                <w:sz w:val="18"/>
                <w:shd w:val="clear" w:color="auto" w:fill="FFF4D6"/>
              </w:rPr>
              <w:t>[À compléter : nom, fonction, date de validation]</w:t>
            </w:r>
          </w:p>
        </w:tc>
      </w:tr>
    </w:tbl>
    <w:p>
      <w:pPr>
        <w:spacing w:before="440"/>
      </w:pPr>
      <w:r>
        <w:rPr>
          <w:i/>
          <w:color w:val="626262"/>
          <w:sz w:val="16"/>
        </w:rPr>
        <w:t>Les éléments juridiques, administratifs, financiers et tarifaires de ce document sont des propositions de travail. Ils sont présentés comme provisoires tant qu'ils n'ont pas été validés par la direction et, le cas échéant, par un professionnel compétent. Les champs surlignés sont à compléter.</w:t>
      </w:r>
    </w:p>
    <w:p>
      <w:pPr>
        <w:spacing w:before="160"/>
      </w:pPr>
      <w:r>
        <w:rPr>
          <w:b/>
          <w:color w:val="0B5A45"/>
          <w:sz w:val="15"/>
          <w:spacing w:val="20"/>
        </w:rPr>
        <w:t>CONNECTING TECHNOLOGY. DRIVING TRADE. BUILDING AFRICA'S FUTURE.</w:t>
      </w:r>
    </w:p>
    <w:p>
      <w:pPr>
        <w:spacing w:after="0"/>
      </w:pPr>
      <w:r>
        <w:br w:type="page"/>
      </w:r>
    </w:p>
    <w:p>
      <w:pPr>
        <w:pStyle w:val="Heading1"/>
        <w:pBdr>
          <w:bottom w:val="single" w:sz="6" w:space="4" w:color="00A676"/>
        </w:pBdr>
      </w:pPr>
      <w:r>
        <w:t>1. Présentation de la catégorie</w:t>
      </w:r>
    </w:p>
    <w:p>
      <w:pPr>
        <w:spacing w:after="160"/>
      </w:pPr>
      <w:r>
        <w:rPr>
          <w:color w:val="063D2E"/>
          <w:sz w:val="22"/>
        </w:rPr>
        <w:t>Cette grille présente les prestations de la catégorie « Formations et accompagnement », leurs contenus, livrables, tarifs indicatifs, délais et conditions.</w:t>
      </w:r>
    </w:p>
    <w:p>
      <w:r>
        <w:rPr>
          <w:b/>
        </w:rPr>
        <w:t>Public concerné.</w:t>
      </w:r>
      <w:r>
        <w:t xml:space="preserve"> Équipes, dirigeants et particuliers qui veulent monter en compétence sur le numérique.</w:t>
      </w:r>
    </w:p>
    <w:p>
      <w:pPr>
        <w:pStyle w:val="Heading2"/>
      </w:pPr>
      <w:r>
        <w:t>Comment choisir</w:t>
      </w:r>
    </w:p>
    <w:p>
      <w:pPr>
        <w:pStyle w:val="ListBullet"/>
      </w:pPr>
      <w:r>
        <w:t xml:space="preserve">Mettre une équipe à niveau : </w:t>
      </w:r>
      <w:r>
        <w:rPr>
          <w:b/>
        </w:rPr>
        <w:t>FO01</w:t>
      </w:r>
      <w:r>
        <w:t xml:space="preserve"> (groupe) ou </w:t>
      </w:r>
      <w:r>
        <w:rPr>
          <w:b/>
        </w:rPr>
        <w:t>FO02</w:t>
      </w:r>
      <w:r>
        <w:t xml:space="preserve"> (sur mesure, à la journée).</w:t>
      </w:r>
    </w:p>
    <w:p>
      <w:pPr>
        <w:pStyle w:val="ListBullet"/>
      </w:pPr>
      <w:r>
        <w:t xml:space="preserve">Sensibiliser la direction : </w:t>
      </w:r>
      <w:r>
        <w:rPr>
          <w:b/>
        </w:rPr>
        <w:t>FO03</w:t>
      </w:r>
      <w:r>
        <w:t xml:space="preserve">. Former à un métier : </w:t>
      </w:r>
      <w:r>
        <w:rPr>
          <w:b/>
        </w:rPr>
        <w:t>FO04</w:t>
      </w:r>
      <w:r>
        <w:t xml:space="preserve"> (parcours de 5 jours).</w:t>
      </w:r>
    </w:p>
    <w:p>
      <w:pPr>
        <w:pStyle w:val="ListBullet"/>
      </w:pPr>
      <w:r>
        <w:t xml:space="preserve">Être accompagné dans la durée : </w:t>
      </w:r>
      <w:r>
        <w:rPr>
          <w:b/>
        </w:rPr>
        <w:t>FO05</w:t>
      </w:r>
      <w:r>
        <w:t xml:space="preserve"> (mensuel).</w:t>
      </w:r>
    </w:p>
    <w:tbl>
      <w:tblPr>
        <w:jc w:val="center"/>
        <w:tblLayout w:type="fixed"/>
        <w:tblLook w:firstColumn="1" w:firstRow="1" w:lastColumn="0" w:lastRow="0" w:noHBand="0" w:noVBand="1" w:val="04A0"/>
        <w:tblLayout w:type="fixed"/>
        <w:tblW w:w="9639" w:type="dxa"/>
      </w:tblPr>
      <w:tblGrid>
        <w:gridCol w:w="9639"/>
      </w:tblGrid>
      <w:tr>
        <w:trPr>
          <w:cantSplit/>
        </w:trPr>
        <w:tc>
          <w:tcPr>
            <w:tcW w:type="dxa" w:w="9638"/>
            <w:shd w:val="clear" w:color="auto" w:fill="FFF4D6"/>
            <w:tcMar>
              <w:top w:w="110" w:type="dxa"/>
              <w:left w:w="180" w:type="dxa"/>
              <w:bottom w:w="110" w:type="dxa"/>
              <w:right w:w="160" w:type="dxa"/>
            </w:tcMar>
            <w:tcBorders>
              <w:top w:val="nil"/>
              <w:left w:val="single" w:sz="24" w:space="0" w:color="D99A00"/>
              <w:bottom w:val="nil"/>
              <w:right w:val="nil"/>
            </w:tcBorders>
          </w:tcPr>
          <w:p>
            <w:pPr>
              <w:pStyle w:val="TTGCell"/>
              <w:spacing w:after="40"/>
            </w:pPr>
            <w:r>
              <w:rPr>
                <w:b/>
                <w:color w:val="8A5A00"/>
                <w:sz w:val="18"/>
              </w:rPr>
              <w:t>Statut des tarifs : provisoire</w:t>
            </w:r>
          </w:p>
          <w:p>
            <w:pPr>
              <w:pStyle w:val="TTGCell"/>
            </w:pPr>
            <w:r>
              <w:rPr>
                <w:sz w:val="18"/>
              </w:rPr>
              <w:t xml:space="preserve">Les prix de cette grille sont des </w:t>
            </w:r>
            <w:r>
              <w:rPr>
                <w:b/>
                <w:sz w:val="18"/>
              </w:rPr>
              <w:t>propositions de travail</w:t>
            </w:r>
            <w:r>
              <w:rPr>
                <w:sz w:val="18"/>
              </w:rPr>
              <w:t xml:space="preserve"> à valider par la direction de TechnologyTrade Group. Ils sont indicatifs, exprimés en FCFA hors taxes, et ne remplacent pas le devis.</w:t>
            </w:r>
          </w:p>
        </w:tc>
      </w:tr>
    </w:tbl>
    <w:p>
      <w:pPr>
        <w:spacing w:after="100"/>
      </w:pPr>
    </w:p>
    <w:p>
      <w:pPr>
        <w:pStyle w:val="Heading1"/>
        <w:pBdr>
          <w:bottom w:val="single" w:sz="6" w:space="4" w:color="00A676"/>
        </w:pBdr>
      </w:pPr>
      <w:r>
        <w:t>2. Vue d’ensemble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7"/>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7"/>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7"/>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FO01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Formation aux outils numériques (groupe)</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400 000 – 800 000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2 jours (planification sous 2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50 % / 50 %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FO02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Formation sur mesure en entreprise (par jour)</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175 000 – 350 000 FCFA / jour</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Planification sous 2 à 3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50 % / 50 %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FO03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Initiation à la transformation numérique pour dirigeants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275 000 – 550 000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1 journée</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50 % / 50 %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FO04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Parcours de formation métier (5 jours)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925 000 – 1 850 000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 jours répartis sur 2 à 5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50 % / 50 %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FO05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Accompagnement individuel (mensuel)</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150 000 – 325 000 FCFA / mois</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Démarrage sous 1 semaine ; engagement de 3 mois minimum</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Mensuel d’avance</w:t>
            </w:r>
          </w:p>
        </w:tc>
      </w:tr>
    </w:tbl>
    <w:p>
      <w:pPr>
        <w:spacing w:after="80"/>
      </w:pPr>
    </w:p>
    <w:p>
      <w:pPr>
        <w:spacing w:after="0"/>
      </w:pPr>
      <w:r>
        <w:br w:type="page"/>
      </w:r>
    </w:p>
    <w:p>
      <w:pPr>
        <w:pStyle w:val="Heading1"/>
        <w:pBdr>
          <w:bottom w:val="single" w:sz="6" w:space="4" w:color="00A676"/>
        </w:pBdr>
      </w:pPr>
      <w:r>
        <w:t>3. Fiches détaillées des offres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FO01   </w:t>
            </w:r>
            <w:r>
              <w:rPr>
                <w:b/>
                <w:color w:val="FFFFFF"/>
                <w:sz w:val="20"/>
              </w:rPr>
              <w:t>Formation aux outils numériques (groupe)</w:t>
            </w:r>
            <w:r>
              <w:rPr>
                <w:b/>
                <w:color w:val="FFFFFF"/>
                <w:sz w:val="19"/>
              </w:rPr>
              <w:tab/>
              <w:t>400 000 – 800 000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Session de 2 jours pour un groupe de 12 personnes maximum : bureautique collaborative, messagerie, sécurité de base, outils en ligne.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Programme adapté au niveau du groupe</w:t>
            </w:r>
          </w:p>
          <w:p>
            <w:pPr>
              <w:pStyle w:val="TTGCell"/>
              <w:keepNext/>
              <w:keepLines/>
              <w:ind w:left="170" w:hanging="170"/>
            </w:pPr>
            <w:r>
              <w:rPr>
                <w:b/>
                <w:color w:val="00A676"/>
                <w:sz w:val="16"/>
              </w:rPr>
              <w:t xml:space="preserve">• </w:t>
            </w:r>
            <w:r>
              <w:rPr>
                <w:sz w:val="16"/>
              </w:rPr>
              <w:t>Supports remis aux participants</w:t>
            </w:r>
          </w:p>
          <w:p>
            <w:pPr>
              <w:pStyle w:val="TTGCell"/>
              <w:keepNext/>
              <w:keepLines/>
              <w:ind w:left="170" w:hanging="170"/>
            </w:pPr>
            <w:r>
              <w:rPr>
                <w:b/>
                <w:color w:val="00A676"/>
                <w:sz w:val="16"/>
              </w:rPr>
              <w:t xml:space="preserve">• </w:t>
            </w:r>
            <w:r>
              <w:rPr>
                <w:sz w:val="16"/>
              </w:rPr>
              <w:t>Exercices pratiques</w:t>
            </w:r>
          </w:p>
          <w:p>
            <w:pPr>
              <w:pStyle w:val="TTGCell"/>
              <w:keepNext/>
              <w:keepLines/>
              <w:ind w:left="170" w:hanging="170"/>
            </w:pPr>
            <w:r>
              <w:rPr>
                <w:b/>
                <w:color w:val="00A676"/>
                <w:sz w:val="16"/>
              </w:rPr>
              <w:t xml:space="preserve">• </w:t>
            </w:r>
            <w:r>
              <w:rPr>
                <w:sz w:val="16"/>
              </w:rPr>
              <w:t>Évaluation des acquis</w:t>
            </w:r>
          </w:p>
          <w:p>
            <w:pPr>
              <w:pStyle w:val="TTGCell"/>
              <w:keepNext/>
              <w:keepLines/>
              <w:ind w:left="170" w:hanging="170"/>
            </w:pPr>
            <w:r>
              <w:rPr>
                <w:b/>
                <w:color w:val="00A676"/>
                <w:sz w:val="16"/>
              </w:rPr>
              <w:t xml:space="preserve">• </w:t>
            </w:r>
            <w:r>
              <w:rPr>
                <w:sz w:val="16"/>
              </w:rPr>
              <w:t>Attestation de suivi</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Supports de formation</w:t>
            </w:r>
          </w:p>
          <w:p>
            <w:pPr>
              <w:pStyle w:val="TTGCell"/>
              <w:keepNext/>
              <w:keepLines/>
              <w:ind w:left="170" w:hanging="170"/>
            </w:pPr>
            <w:r>
              <w:rPr>
                <w:b/>
                <w:color w:val="00A676"/>
                <w:sz w:val="16"/>
              </w:rPr>
              <w:t xml:space="preserve">• </w:t>
            </w:r>
            <w:r>
              <w:rPr>
                <w:sz w:val="16"/>
              </w:rPr>
              <w:t>Attestations de suivi</w:t>
            </w:r>
          </w:p>
          <w:p>
            <w:pPr>
              <w:pStyle w:val="TTGCell"/>
              <w:keepNext/>
              <w:keepLines/>
              <w:ind w:left="170" w:hanging="170"/>
            </w:pPr>
            <w:r>
              <w:rPr>
                <w:b/>
                <w:color w:val="00A676"/>
                <w:sz w:val="16"/>
              </w:rPr>
              <w:t xml:space="preserve">• </w:t>
            </w:r>
            <w:r>
              <w:rPr>
                <w:sz w:val="16"/>
              </w:rPr>
              <w:t>Bilan de session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jours (planification sous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l’inscription, solde avant le début de la session.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Location de salle et restauration</w:t>
            </w:r>
          </w:p>
          <w:p>
            <w:pPr>
              <w:pStyle w:val="TTGCell"/>
              <w:keepNext w:val="0"/>
              <w:keepLines/>
              <w:ind w:left="170" w:hanging="170"/>
            </w:pPr>
            <w:r>
              <w:rPr>
                <w:b/>
                <w:color w:val="00A676"/>
                <w:sz w:val="16"/>
              </w:rPr>
              <w:t xml:space="preserve">• </w:t>
            </w:r>
            <w:r>
              <w:rPr>
                <w:sz w:val="16"/>
              </w:rPr>
              <w:t>Matériel informatique</w:t>
            </w:r>
          </w:p>
          <w:p>
            <w:pPr>
              <w:pStyle w:val="TTGCell"/>
              <w:keepNext w:val="0"/>
              <w:keepLines/>
              <w:ind w:left="170" w:hanging="170"/>
            </w:pPr>
            <w:r>
              <w:rPr>
                <w:b/>
                <w:color w:val="00A676"/>
                <w:sz w:val="16"/>
              </w:rPr>
              <w:t xml:space="preserve">• </w:t>
            </w:r>
            <w:r>
              <w:rPr>
                <w:sz w:val="16"/>
              </w:rPr>
              <w:t>Déplacement hors Brazzaville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participants</w:t>
            </w:r>
          </w:p>
          <w:p>
            <w:pPr>
              <w:pStyle w:val="TTGCell"/>
              <w:keepNext w:val="0"/>
              <w:keepLines/>
              <w:ind w:left="170" w:hanging="170"/>
            </w:pPr>
            <w:r>
              <w:rPr>
                <w:b/>
                <w:color w:val="00A676"/>
                <w:sz w:val="16"/>
              </w:rPr>
              <w:t xml:space="preserve">• </w:t>
            </w:r>
            <w:r>
              <w:rPr>
                <w:sz w:val="16"/>
              </w:rPr>
              <w:t>Lieu</w:t>
            </w:r>
          </w:p>
          <w:p>
            <w:pPr>
              <w:pStyle w:val="TTGCell"/>
              <w:keepNext w:val="0"/>
              <w:keepLines/>
              <w:ind w:left="170" w:hanging="170"/>
            </w:pPr>
            <w:r>
              <w:rPr>
                <w:b/>
                <w:color w:val="00A676"/>
                <w:sz w:val="16"/>
              </w:rPr>
              <w:t xml:space="preserve">• </w:t>
            </w:r>
            <w:r>
              <w:rPr>
                <w:sz w:val="16"/>
              </w:rPr>
              <w:t>Niveau de départ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FO02   </w:t>
            </w:r>
            <w:r>
              <w:rPr>
                <w:b/>
                <w:color w:val="FFFFFF"/>
                <w:sz w:val="20"/>
              </w:rPr>
              <w:t>Formation sur mesure en entreprise (par jour)</w:t>
            </w:r>
            <w:r>
              <w:rPr>
                <w:b/>
                <w:color w:val="FFFFFF"/>
                <w:sz w:val="19"/>
              </w:rPr>
              <w:tab/>
              <w:t>175 000 – 350 000 FCFA / jour</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Journée de formation construite pour une équipe : logiciel métier, outils, méthodes ou culture numérique.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Analyse du besoin</w:t>
            </w:r>
          </w:p>
          <w:p>
            <w:pPr>
              <w:pStyle w:val="TTGCell"/>
              <w:keepNext/>
              <w:keepLines/>
              <w:ind w:left="170" w:hanging="170"/>
            </w:pPr>
            <w:r>
              <w:rPr>
                <w:b/>
                <w:color w:val="00A676"/>
                <w:sz w:val="16"/>
              </w:rPr>
              <w:t xml:space="preserve">• </w:t>
            </w:r>
            <w:r>
              <w:rPr>
                <w:sz w:val="16"/>
              </w:rPr>
              <w:t>Programme sur mesure</w:t>
            </w:r>
          </w:p>
          <w:p>
            <w:pPr>
              <w:pStyle w:val="TTGCell"/>
              <w:keepNext/>
              <w:keepLines/>
              <w:ind w:left="170" w:hanging="170"/>
            </w:pPr>
            <w:r>
              <w:rPr>
                <w:b/>
                <w:color w:val="00A676"/>
                <w:sz w:val="16"/>
              </w:rPr>
              <w:t xml:space="preserve">• </w:t>
            </w:r>
            <w:r>
              <w:rPr>
                <w:sz w:val="16"/>
              </w:rPr>
              <w:t>Animation (jusqu’à 12 participants)</w:t>
            </w:r>
          </w:p>
          <w:p>
            <w:pPr>
              <w:pStyle w:val="TTGCell"/>
              <w:keepNext/>
              <w:keepLines/>
              <w:ind w:left="170" w:hanging="170"/>
            </w:pPr>
            <w:r>
              <w:rPr>
                <w:b/>
                <w:color w:val="00A676"/>
                <w:sz w:val="16"/>
              </w:rPr>
              <w:t xml:space="preserve">• </w:t>
            </w:r>
            <w:r>
              <w:rPr>
                <w:sz w:val="16"/>
              </w:rPr>
              <w:t>Supports remis</w:t>
            </w:r>
          </w:p>
          <w:p>
            <w:pPr>
              <w:pStyle w:val="TTGCell"/>
              <w:keepNext/>
              <w:keepLines/>
              <w:ind w:left="170" w:hanging="170"/>
            </w:pPr>
            <w:r>
              <w:rPr>
                <w:b/>
                <w:color w:val="00A676"/>
                <w:sz w:val="16"/>
              </w:rPr>
              <w:t xml:space="preserve">• </w:t>
            </w:r>
            <w:r>
              <w:rPr>
                <w:sz w:val="16"/>
              </w:rPr>
              <w:t>Bilan écrit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Programme</w:t>
            </w:r>
          </w:p>
          <w:p>
            <w:pPr>
              <w:pStyle w:val="TTGCell"/>
              <w:keepNext/>
              <w:keepLines/>
              <w:ind w:left="170" w:hanging="170"/>
            </w:pPr>
            <w:r>
              <w:rPr>
                <w:b/>
                <w:color w:val="00A676"/>
                <w:sz w:val="16"/>
              </w:rPr>
              <w:t xml:space="preserve">• </w:t>
            </w:r>
            <w:r>
              <w:rPr>
                <w:sz w:val="16"/>
              </w:rPr>
              <w:t>Supports</w:t>
            </w:r>
          </w:p>
          <w:p>
            <w:pPr>
              <w:pStyle w:val="TTGCell"/>
              <w:keepNext/>
              <w:keepLines/>
              <w:ind w:left="170" w:hanging="170"/>
            </w:pPr>
            <w:r>
              <w:rPr>
                <w:b/>
                <w:color w:val="00A676"/>
                <w:sz w:val="16"/>
              </w:rPr>
              <w:t xml:space="preserve">• </w:t>
            </w:r>
            <w:r>
              <w:rPr>
                <w:sz w:val="16"/>
              </w:rPr>
              <w:t>Bilan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Planification sous 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l’inscription, solde avant le début de la session.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Location de salle</w:t>
            </w:r>
          </w:p>
          <w:p>
            <w:pPr>
              <w:pStyle w:val="TTGCell"/>
              <w:keepNext w:val="0"/>
              <w:keepLines/>
              <w:ind w:left="170" w:hanging="170"/>
            </w:pPr>
            <w:r>
              <w:rPr>
                <w:b/>
                <w:color w:val="00A676"/>
                <w:sz w:val="16"/>
              </w:rPr>
              <w:t xml:space="preserve">• </w:t>
            </w:r>
            <w:r>
              <w:rPr>
                <w:sz w:val="16"/>
              </w:rPr>
              <w:t>Déplacement hors Brazzaville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participants</w:t>
            </w:r>
          </w:p>
          <w:p>
            <w:pPr>
              <w:pStyle w:val="TTGCell"/>
              <w:keepNext w:val="0"/>
              <w:keepLines/>
              <w:ind w:left="170" w:hanging="170"/>
            </w:pPr>
            <w:r>
              <w:rPr>
                <w:b/>
                <w:color w:val="00A676"/>
                <w:sz w:val="16"/>
              </w:rPr>
              <w:t xml:space="preserve">• </w:t>
            </w:r>
            <w:r>
              <w:rPr>
                <w:sz w:val="16"/>
              </w:rPr>
              <w:t>Nombre de jours</w:t>
            </w:r>
          </w:p>
          <w:p>
            <w:pPr>
              <w:pStyle w:val="TTGCell"/>
              <w:keepNext w:val="0"/>
              <w:keepLines/>
              <w:ind w:left="170" w:hanging="170"/>
            </w:pPr>
            <w:r>
              <w:rPr>
                <w:b/>
                <w:color w:val="00A676"/>
                <w:sz w:val="16"/>
              </w:rPr>
              <w:t xml:space="preserve">• </w:t>
            </w:r>
            <w:r>
              <w:rPr>
                <w:sz w:val="16"/>
              </w:rPr>
              <w:t>Préparation spécifique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FO03   </w:t>
            </w:r>
            <w:r>
              <w:rPr>
                <w:b/>
                <w:color w:val="FFFFFF"/>
                <w:sz w:val="20"/>
              </w:rPr>
              <w:t>Initiation à la transformation numérique pour dirigeants</w:t>
            </w:r>
            <w:r>
              <w:rPr>
                <w:b/>
                <w:color w:val="FFFFFF"/>
                <w:sz w:val="19"/>
              </w:rPr>
              <w:tab/>
              <w:t>275 000 – 550 000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Journée de sensibilisation pour dirigeants : enjeux, risques, priorités et premiers pas concrets.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Préparation avec le dirigeant</w:t>
            </w:r>
          </w:p>
          <w:p>
            <w:pPr>
              <w:pStyle w:val="TTGCell"/>
              <w:keepNext/>
              <w:keepLines/>
              <w:ind w:left="170" w:hanging="170"/>
            </w:pPr>
            <w:r>
              <w:rPr>
                <w:b/>
                <w:color w:val="00A676"/>
                <w:sz w:val="16"/>
              </w:rPr>
              <w:t xml:space="preserve">• </w:t>
            </w:r>
            <w:r>
              <w:rPr>
                <w:sz w:val="16"/>
              </w:rPr>
              <w:t>Journée d’animation (jusqu’à 10 participants)</w:t>
            </w:r>
          </w:p>
          <w:p>
            <w:pPr>
              <w:pStyle w:val="TTGCell"/>
              <w:keepNext/>
              <w:keepLines/>
              <w:ind w:left="170" w:hanging="170"/>
            </w:pPr>
            <w:r>
              <w:rPr>
                <w:b/>
                <w:color w:val="00A676"/>
                <w:sz w:val="16"/>
              </w:rPr>
              <w:t xml:space="preserve">• </w:t>
            </w:r>
            <w:r>
              <w:rPr>
                <w:sz w:val="16"/>
              </w:rPr>
              <w:t>Fiches pratiques</w:t>
            </w:r>
          </w:p>
          <w:p>
            <w:pPr>
              <w:pStyle w:val="TTGCell"/>
              <w:keepNext/>
              <w:keepLines/>
              <w:ind w:left="170" w:hanging="170"/>
            </w:pPr>
            <w:r>
              <w:rPr>
                <w:b/>
                <w:color w:val="00A676"/>
                <w:sz w:val="16"/>
              </w:rPr>
              <w:t xml:space="preserve">• </w:t>
            </w:r>
            <w:r>
              <w:rPr>
                <w:sz w:val="16"/>
              </w:rPr>
              <w:t>Plan d’action personnalisé de 90 jours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Supports</w:t>
            </w:r>
          </w:p>
          <w:p>
            <w:pPr>
              <w:pStyle w:val="TTGCell"/>
              <w:keepNext/>
              <w:keepLines/>
              <w:ind w:left="170" w:hanging="170"/>
            </w:pPr>
            <w:r>
              <w:rPr>
                <w:b/>
                <w:color w:val="00A676"/>
                <w:sz w:val="16"/>
              </w:rPr>
              <w:t xml:space="preserve">• </w:t>
            </w:r>
            <w:r>
              <w:rPr>
                <w:sz w:val="16"/>
              </w:rPr>
              <w:t>Plan d’action 90 jours par participant</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journée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l’inscription, solde avant le début de la session.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Location de salle et restauration</w:t>
            </w:r>
          </w:p>
          <w:p>
            <w:pPr>
              <w:pStyle w:val="TTGCell"/>
              <w:keepNext w:val="0"/>
              <w:keepLines/>
              <w:ind w:left="170" w:hanging="170"/>
            </w:pPr>
            <w:r>
              <w:rPr>
                <w:b/>
                <w:color w:val="00A676"/>
                <w:sz w:val="16"/>
              </w:rPr>
              <w:t xml:space="preserve">• </w:t>
            </w:r>
            <w:r>
              <w:rPr>
                <w:sz w:val="16"/>
              </w:rPr>
              <w:t>Accompagnement après la journée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participants</w:t>
            </w:r>
          </w:p>
          <w:p>
            <w:pPr>
              <w:pStyle w:val="TTGCell"/>
              <w:keepNext w:val="0"/>
              <w:keepLines/>
              <w:ind w:left="170" w:hanging="170"/>
            </w:pPr>
            <w:r>
              <w:rPr>
                <w:b/>
                <w:color w:val="00A676"/>
                <w:sz w:val="16"/>
              </w:rPr>
              <w:t xml:space="preserve">• </w:t>
            </w:r>
            <w:r>
              <w:rPr>
                <w:sz w:val="16"/>
              </w:rPr>
              <w:t>Lieu</w:t>
            </w:r>
          </w:p>
          <w:p>
            <w:pPr>
              <w:pStyle w:val="TTGCell"/>
              <w:keepNext w:val="0"/>
              <w:keepLines/>
              <w:ind w:left="170" w:hanging="170"/>
            </w:pPr>
            <w:r>
              <w:rPr>
                <w:b/>
                <w:color w:val="00A676"/>
                <w:sz w:val="16"/>
              </w:rPr>
              <w:t xml:space="preserve">• </w:t>
            </w:r>
            <w:r>
              <w:rPr>
                <w:sz w:val="16"/>
              </w:rPr>
              <w:t>Secteur d’activité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FO04   </w:t>
            </w:r>
            <w:r>
              <w:rPr>
                <w:b/>
                <w:color w:val="FFFFFF"/>
                <w:sz w:val="20"/>
              </w:rPr>
              <w:t>Parcours de formation métier (5 jours)</w:t>
            </w:r>
            <w:r>
              <w:rPr>
                <w:b/>
                <w:color w:val="FFFFFF"/>
                <w:sz w:val="19"/>
              </w:rPr>
              <w:tab/>
              <w:t>925 000 – 1 850 000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Parcours de 5 jours en développement, design, communication digitale ou gestion de projet numérique.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Programme sur 5 jours</w:t>
            </w:r>
          </w:p>
          <w:p>
            <w:pPr>
              <w:pStyle w:val="TTGCell"/>
              <w:keepNext/>
              <w:keepLines/>
              <w:ind w:left="170" w:hanging="170"/>
            </w:pPr>
            <w:r>
              <w:rPr>
                <w:b/>
                <w:color w:val="00A676"/>
                <w:sz w:val="16"/>
              </w:rPr>
              <w:t xml:space="preserve">• </w:t>
            </w:r>
            <w:r>
              <w:rPr>
                <w:sz w:val="16"/>
              </w:rPr>
              <w:t>Ateliers pratiques et projet fil rouge</w:t>
            </w:r>
          </w:p>
          <w:p>
            <w:pPr>
              <w:pStyle w:val="TTGCell"/>
              <w:keepNext/>
              <w:keepLines/>
              <w:ind w:left="170" w:hanging="170"/>
            </w:pPr>
            <w:r>
              <w:rPr>
                <w:b/>
                <w:color w:val="00A676"/>
                <w:sz w:val="16"/>
              </w:rPr>
              <w:t xml:space="preserve">• </w:t>
            </w:r>
            <w:r>
              <w:rPr>
                <w:sz w:val="16"/>
              </w:rPr>
              <w:t>Supports et ressources en ligne</w:t>
            </w:r>
          </w:p>
          <w:p>
            <w:pPr>
              <w:pStyle w:val="TTGCell"/>
              <w:keepNext/>
              <w:keepLines/>
              <w:ind w:left="170" w:hanging="170"/>
            </w:pPr>
            <w:r>
              <w:rPr>
                <w:b/>
                <w:color w:val="00A676"/>
                <w:sz w:val="16"/>
              </w:rPr>
              <w:t xml:space="preserve">• </w:t>
            </w:r>
            <w:r>
              <w:rPr>
                <w:sz w:val="16"/>
              </w:rPr>
              <w:t>Évaluation finale</w:t>
            </w:r>
          </w:p>
          <w:p>
            <w:pPr>
              <w:pStyle w:val="TTGCell"/>
              <w:keepNext/>
              <w:keepLines/>
              <w:ind w:left="170" w:hanging="170"/>
            </w:pPr>
            <w:r>
              <w:rPr>
                <w:b/>
                <w:color w:val="00A676"/>
                <w:sz w:val="16"/>
              </w:rPr>
              <w:t xml:space="preserve">• </w:t>
            </w:r>
            <w:r>
              <w:rPr>
                <w:sz w:val="16"/>
              </w:rPr>
              <w:t>Attestation de suivi</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Programme détaillé</w:t>
            </w:r>
          </w:p>
          <w:p>
            <w:pPr>
              <w:pStyle w:val="TTGCell"/>
              <w:keepNext/>
              <w:keepLines/>
              <w:ind w:left="170" w:hanging="170"/>
            </w:pPr>
            <w:r>
              <w:rPr>
                <w:b/>
                <w:color w:val="00A676"/>
                <w:sz w:val="16"/>
              </w:rPr>
              <w:t xml:space="preserve">• </w:t>
            </w:r>
            <w:r>
              <w:rPr>
                <w:sz w:val="16"/>
              </w:rPr>
              <w:t>Supports</w:t>
            </w:r>
          </w:p>
          <w:p>
            <w:pPr>
              <w:pStyle w:val="TTGCell"/>
              <w:keepNext/>
              <w:keepLines/>
              <w:ind w:left="170" w:hanging="170"/>
            </w:pPr>
            <w:r>
              <w:rPr>
                <w:b/>
                <w:color w:val="00A676"/>
                <w:sz w:val="16"/>
              </w:rPr>
              <w:t xml:space="preserve">• </w:t>
            </w:r>
            <w:r>
              <w:rPr>
                <w:sz w:val="16"/>
              </w:rPr>
              <w:t>Évaluation et attestations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5 jours répartis sur 2 à 5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l’inscription, solde avant le début de la session.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Matériel informatique</w:t>
            </w:r>
          </w:p>
          <w:p>
            <w:pPr>
              <w:pStyle w:val="TTGCell"/>
              <w:keepNext w:val="0"/>
              <w:keepLines/>
              <w:ind w:left="170" w:hanging="170"/>
            </w:pPr>
            <w:r>
              <w:rPr>
                <w:b/>
                <w:color w:val="00A676"/>
                <w:sz w:val="16"/>
              </w:rPr>
              <w:t xml:space="preserve">• </w:t>
            </w:r>
            <w:r>
              <w:rPr>
                <w:sz w:val="16"/>
              </w:rPr>
              <w:t>Certification reconnue par un organisme tiers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Domaine</w:t>
            </w:r>
          </w:p>
          <w:p>
            <w:pPr>
              <w:pStyle w:val="TTGCell"/>
              <w:keepNext w:val="0"/>
              <w:keepLines/>
              <w:ind w:left="170" w:hanging="170"/>
            </w:pPr>
            <w:r>
              <w:rPr>
                <w:b/>
                <w:color w:val="00A676"/>
                <w:sz w:val="16"/>
              </w:rPr>
              <w:t xml:space="preserve">• </w:t>
            </w:r>
            <w:r>
              <w:rPr>
                <w:sz w:val="16"/>
              </w:rPr>
              <w:t>Nombre de participants</w:t>
            </w:r>
          </w:p>
          <w:p>
            <w:pPr>
              <w:pStyle w:val="TTGCell"/>
              <w:keepNext w:val="0"/>
              <w:keepLines/>
              <w:ind w:left="170" w:hanging="170"/>
            </w:pPr>
            <w:r>
              <w:rPr>
                <w:b/>
                <w:color w:val="00A676"/>
                <w:sz w:val="16"/>
              </w:rPr>
              <w:t xml:space="preserve">• </w:t>
            </w:r>
            <w:r>
              <w:rPr>
                <w:sz w:val="16"/>
              </w:rPr>
              <w:t>Niveau de départ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FO05   </w:t>
            </w:r>
            <w:r>
              <w:rPr>
                <w:b/>
                <w:color w:val="FFFFFF"/>
                <w:sz w:val="20"/>
              </w:rPr>
              <w:t>Accompagnement individuel (mensuel)</w:t>
            </w:r>
            <w:r>
              <w:rPr>
                <w:b/>
                <w:color w:val="FFFFFF"/>
                <w:sz w:val="19"/>
              </w:rPr>
              <w:tab/>
              <w:t>150 000 – 325 000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Accompagnement régulier d’un dirigeant ou d’un responsable dans ses choix numériques : points d’avancement et conseils.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2 séances de 1 h 30 par mois</w:t>
            </w:r>
          </w:p>
          <w:p>
            <w:pPr>
              <w:pStyle w:val="TTGCell"/>
              <w:keepNext/>
              <w:keepLines/>
              <w:ind w:left="170" w:hanging="170"/>
            </w:pPr>
            <w:r>
              <w:rPr>
                <w:b/>
                <w:color w:val="00A676"/>
                <w:sz w:val="16"/>
              </w:rPr>
              <w:t xml:space="preserve">• </w:t>
            </w:r>
            <w:r>
              <w:rPr>
                <w:sz w:val="16"/>
              </w:rPr>
              <w:t>Suivi des décisions et des actions</w:t>
            </w:r>
          </w:p>
          <w:p>
            <w:pPr>
              <w:pStyle w:val="TTGCell"/>
              <w:keepNext/>
              <w:keepLines/>
              <w:ind w:left="170" w:hanging="170"/>
            </w:pPr>
            <w:r>
              <w:rPr>
                <w:b/>
                <w:color w:val="00A676"/>
                <w:sz w:val="16"/>
              </w:rPr>
              <w:t xml:space="preserve">• </w:t>
            </w:r>
            <w:r>
              <w:rPr>
                <w:sz w:val="16"/>
              </w:rPr>
              <w:t>Disponibilité par message sur rendez-vous</w:t>
            </w:r>
          </w:p>
          <w:p>
            <w:pPr>
              <w:pStyle w:val="TTGCell"/>
              <w:keepNext/>
              <w:keepLines/>
              <w:ind w:left="170" w:hanging="170"/>
            </w:pPr>
            <w:r>
              <w:rPr>
                <w:b/>
                <w:color w:val="00A676"/>
                <w:sz w:val="16"/>
              </w:rPr>
              <w:t xml:space="preserve">• </w:t>
            </w:r>
            <w:r>
              <w:rPr>
                <w:sz w:val="16"/>
              </w:rPr>
              <w:t>Compte rendu mensuel</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Compte rendu mensuel</w:t>
            </w:r>
          </w:p>
          <w:p>
            <w:pPr>
              <w:pStyle w:val="TTGCell"/>
              <w:keepNext/>
              <w:keepLines/>
              <w:ind w:left="170" w:hanging="170"/>
            </w:pPr>
            <w:r>
              <w:rPr>
                <w:b/>
                <w:color w:val="00A676"/>
                <w:sz w:val="16"/>
              </w:rPr>
              <w:t xml:space="preserve">• </w:t>
            </w:r>
            <w:r>
              <w:rPr>
                <w:sz w:val="16"/>
              </w:rPr>
              <w:t>Plan d’action mis à jour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1 semaine ; engagement de 3 mois minimum</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Réalisation des actions à la place du client</w:t>
            </w:r>
          </w:p>
          <w:p>
            <w:pPr>
              <w:pStyle w:val="TTGCell"/>
              <w:keepNext w:val="0"/>
              <w:keepLines/>
              <w:ind w:left="170" w:hanging="170"/>
            </w:pPr>
            <w:r>
              <w:rPr>
                <w:b/>
                <w:color w:val="00A676"/>
                <w:sz w:val="16"/>
              </w:rPr>
              <w:t xml:space="preserve">• </w:t>
            </w:r>
            <w:r>
              <w:rPr>
                <w:sz w:val="16"/>
              </w:rPr>
              <w:t>Déplacement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Fréquence des séances</w:t>
            </w:r>
          </w:p>
          <w:p>
            <w:pPr>
              <w:pStyle w:val="TTGCell"/>
              <w:keepNext w:val="0"/>
              <w:keepLines/>
              <w:ind w:left="170" w:hanging="170"/>
            </w:pPr>
            <w:r>
              <w:rPr>
                <w:b/>
                <w:color w:val="00A676"/>
                <w:sz w:val="16"/>
              </w:rPr>
              <w:t xml:space="preserve">• </w:t>
            </w:r>
            <w:r>
              <w:rPr>
                <w:sz w:val="16"/>
              </w:rPr>
              <w:t>Nombre de personnes accompagnées</w:t>
            </w:r>
          </w:p>
        </w:tc>
      </w:tr>
    </w:tbl>
    <w:p>
      <w:pPr>
        <w:spacing w:after="140"/>
      </w:pPr>
    </w:p>
    <w:p>
      <w:pPr>
        <w:pStyle w:val="Heading1"/>
        <w:pBdr>
          <w:bottom w:val="single" w:sz="6" w:space="4" w:color="00A676"/>
        </w:pBdr>
      </w:pPr>
      <w:r>
        <w:t>4. Options applicables</w:t>
      </w:r>
    </w:p>
    <w:tbl>
      <w:tblPr>
        <w:jc w:val="center"/>
        <w:tblLayout w:type="fixed"/>
        <w:tblLook w:firstColumn="1" w:firstRow="1" w:lastColumn="0" w:lastRow="0" w:noHBand="0" w:noVBand="1" w:val="04A0"/>
        <w:tblLayout w:type="fixed"/>
        <w:tblW w:w="9639" w:type="dxa"/>
      </w:tblPr>
      <w:tblGrid>
        <w:gridCol w:w="850"/>
        <w:gridCol w:w="4706"/>
        <w:gridCol w:w="1927"/>
        <w:gridCol w:w="2154"/>
      </w:tblGrid>
      <w:tr>
        <w:trPr>
          <w:tblHeader w:val="true"/>
          <w:cantSplit/>
        </w:trPr>
        <w:tc>
          <w:tcPr>
            <w:tcW w:type="dxa" w:w="850"/>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4706"/>
            <w:shd w:val="clear" w:color="auto" w:fill="0B5A45"/>
            <w:tcMar>
              <w:top w:w="70" w:type="dxa"/>
              <w:left w:w="90" w:type="dxa"/>
              <w:bottom w:w="70" w:type="dxa"/>
              <w:right w:w="90" w:type="dxa"/>
            </w:tcMar>
            <w:vAlign w:val="center"/>
          </w:tcPr>
          <w:p>
            <w:pPr>
              <w:pStyle w:val="TTGCell"/>
            </w:pPr>
            <w:r>
              <w:rPr>
                <w:b/>
                <w:color w:val="FFFFFF"/>
                <w:sz w:val="17"/>
              </w:rPr>
              <w:t>Option ou supplément</w:t>
            </w:r>
          </w:p>
        </w:tc>
        <w:tc>
          <w:tcPr>
            <w:tcW w:type="dxa" w:w="1928"/>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2154"/>
            <w:shd w:val="clear" w:color="auto" w:fill="0B5A45"/>
            <w:tcMar>
              <w:top w:w="70" w:type="dxa"/>
              <w:left w:w="90" w:type="dxa"/>
              <w:bottom w:w="70" w:type="dxa"/>
              <w:right w:w="90" w:type="dxa"/>
            </w:tcMar>
            <w:vAlign w:val="center"/>
          </w:tcPr>
          <w:p>
            <w:pPr>
              <w:pStyle w:val="TTGCell"/>
            </w:pPr>
            <w:r>
              <w:rPr>
                <w:b/>
                <w:color w:val="FFFFFF"/>
                <w:sz w:val="17"/>
              </w:rPr>
              <w:t>Unité ou condition</w:t>
            </w:r>
          </w:p>
        </w:tc>
      </w:tr>
      <w:tr>
        <w:trPr>
          <w:cantSplit/>
        </w:trPr>
        <w:tc>
          <w:tcPr>
            <w:tcW w:type="dxa" w:w="850"/>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OP06</w:t>
            </w:r>
          </w:p>
        </w:tc>
        <w:tc>
          <w:tcPr>
            <w:tcW w:type="dxa" w:w="4706"/>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Séance de formation supplémentaire d’équipe</w:t>
            </w:r>
          </w:p>
        </w:tc>
        <w:tc>
          <w:tcPr>
            <w:tcW w:type="dxa" w:w="1928"/>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120 000 FCFA</w:t>
            </w:r>
          </w:p>
        </w:tc>
        <w:tc>
          <w:tcPr>
            <w:tcW w:type="dxa" w:w="2154"/>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par séance de 2 heures</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OP12</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Déplacement hors Brazzaville</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frais réels justifiés + indemnité journalière à convenir</w:t>
            </w:r>
          </w:p>
        </w:tc>
      </w:tr>
    </w:tbl>
    <w:p>
      <w:pPr>
        <w:spacing w:after="80"/>
      </w:pPr>
    </w:p>
    <w:p>
      <w:r>
        <w:t>Les options sont facturées en sus de la prestation principale, sur la base d’un devis. Les prix sont indicatifs et provisoires.</w:t>
      </w:r>
    </w:p>
    <w:p>
      <w:pPr>
        <w:pStyle w:val="Heading1"/>
        <w:pBdr>
          <w:bottom w:val="single" w:sz="6" w:space="4" w:color="00A676"/>
        </w:pBdr>
      </w:pPr>
      <w:r>
        <w:t>5. Conditions spécifiques et éléments à valider</w:t>
      </w:r>
    </w:p>
    <w:p>
      <w:pPr>
        <w:pStyle w:val="Heading2"/>
      </w:pPr>
      <w:r>
        <w:t>Conditions générales applicables</w:t>
      </w:r>
    </w:p>
    <w:p>
      <w:pPr>
        <w:pStyle w:val="ListBullet"/>
      </w:pPr>
      <w:r>
        <w:t>Tous les prix sont exprimés en francs CFA (FCFA), hors taxes. Le régime et le taux de TVA applicables sont à confirmer avec l’administration fiscale ou un expert-comptable.</w:t>
      </w:r>
    </w:p>
    <w:p>
      <w:pPr>
        <w:pStyle w:val="ListBullet"/>
      </w:pPr>
      <w:r>
        <w:t xml:space="preserve">Les prix présentés sont des </w:t>
      </w:r>
      <w:r>
        <w:rPr>
          <w:b/>
        </w:rPr>
        <w:t>tarifs indicatifs</w:t>
      </w:r>
      <w:r>
        <w:t xml:space="preserve"> (propositions de travail provisoires). Le prix définitif est celui du devis signé par les deux parties.</w:t>
      </w:r>
    </w:p>
    <w:p>
      <w:pPr>
        <w:pStyle w:val="ListBullet"/>
      </w:pPr>
      <w:r>
        <w:t xml:space="preserve">Un devis détaillé, valable </w:t>
      </w:r>
      <w:r>
        <w:rPr>
          <w:color w:val="8A5A00"/>
          <w:shd w:val="clear" w:color="auto" w:fill="FFF4D6"/>
        </w:rPr>
        <w:t>[à compléter : 30]</w:t>
      </w:r>
      <w:r>
        <w:t xml:space="preserve"> jours, précise le périmètre, les livrables, le calendrier et les modalités de paiement.</w:t>
      </w:r>
    </w:p>
    <w:p>
      <w:pPr>
        <w:pStyle w:val="ListBullet"/>
      </w:pPr>
      <w:r>
        <w:t>Les modalités de paiement sont adaptées à chaque contrat. Un acompte de 75 % et un solde de 25 % peuvent être proposés pour un projet court, uniquement avec l’accord écrit des deux parties ; ce schéma n’est pas systématique.</w:t>
      </w:r>
    </w:p>
    <w:p>
      <w:pPr>
        <w:pStyle w:val="Heading2"/>
      </w:pPr>
      <w:r>
        <w:t>Éléments à valider avant engagement</w:t>
      </w:r>
    </w:p>
    <w:p>
      <w:pPr>
        <w:pStyle w:val="ListBullet"/>
      </w:pPr>
      <w:r>
        <w:t>Une attestation de suivi n’est pas une certification ni un diplôme reconnu.</w:t>
      </w:r>
    </w:p>
    <w:p>
      <w:pPr>
        <w:pStyle w:val="ListBullet"/>
      </w:pPr>
      <w:r>
        <w:t>Agrément éventuel d’organisme de formation : à vérifier auprès de l’autorité compétente.</w:t>
      </w:r>
    </w:p>
    <w:p>
      <w:pPr>
        <w:pStyle w:val="ListBullet"/>
      </w:pPr>
      <w:r>
        <w:t>Salle, matériel et restauration : non inclus sauf mention contraire.</w:t>
      </w:r>
    </w:p>
    <w:tbl>
      <w:tblPr>
        <w:jc w:val="center"/>
        <w:tblLayout w:type="fixed"/>
        <w:tblLook w:firstColumn="1" w:firstRow="1" w:lastColumn="0" w:lastRow="0" w:noHBand="0" w:noVBand="1" w:val="04A0"/>
        <w:tblLayout w:type="fixed"/>
        <w:tblW w:w="9639" w:type="dxa"/>
      </w:tblPr>
      <w:tblGrid>
        <w:gridCol w:w="2608"/>
        <w:gridCol w:w="7031"/>
      </w:tblGrid>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Validité de la grille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 : date de validation et durée]</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Contact commercial</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w:t>
            </w:r>
          </w:p>
        </w:tc>
      </w:tr>
    </w:tbl>
    <w:p>
      <w:pPr>
        <w:spacing w:after="80"/>
      </w:pPr>
    </w:p>
    <w:sectPr w:rsidR="00FC693F" w:rsidRPr="0006063C" w:rsidSect="00034616">
      <w:headerReference w:type="default" r:id="rId9"/>
      <w:footerReference w:type="default" r:id="rId10"/>
      <w:pgSz w:w="11906" w:h="16838"/>
      <w:pgMar w:top="1417" w:right="1134" w:bottom="1191"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6" w:color="D5DBE2"/>
      </w:pBdr>
    </w:pPr>
    <w:r>
      <w:rPr>
        <w:color w:val="626262"/>
        <w:sz w:val="15"/>
      </w:rPr>
      <w:t xml:space="preserve">TechnologyTrade Group  ·  TTG-GT-02-C06  ·  v1.0 — Projet  ·  </w:t>
    </w:r>
    <w:r>
      <w:rPr>
        <w:b/>
        <w:color w:val="0B5A45"/>
        <w:sz w:val="15"/>
      </w:rPr>
      <w:t>Diffusion contrôlée</w:t>
    </w:r>
    <w:r>
      <w:rPr>
        <w:color w:val="626262"/>
        <w:sz w:val="15"/>
      </w:rPr>
      <w:tab/>
      <w:t xml:space="preserve">Page </w:t>
    </w:r>
    <w:r>
      <w:fldChar w:fldCharType="begin"/>
    </w:r>
    <w:r>
      <w:instrText xml:space="preserve"> PAGE </w:instrText>
    </w:r>
    <w:r>
      <w:fldChar w:fldCharType="separate"/>
    </w:r>
    <w:r>
      <w:t>1</w:t>
    </w:r>
    <w:r>
      <w:fldChar w:fldCharType="end"/>
    </w:r>
    <w:r>
      <w:rPr>
        <w:color w:val="626262"/>
        <w:sz w:val="15"/>
      </w:rPr>
      <w:t xml:space="preserve"> sur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pBdr>
        <w:bottom w:val="single" w:sz="6" w:space="6" w:color="00A676"/>
      </w:pBdr>
    </w:pPr>
    <w:r>
      <w:drawing>
        <wp:inline xmlns:a="http://schemas.openxmlformats.org/drawingml/2006/main" xmlns:pic="http://schemas.openxmlformats.org/drawingml/2006/picture">
          <wp:extent cx="1207989" cy="378000"/>
          <wp:docPr id="1" name="Picture 1"/>
          <wp:cNvGraphicFramePr>
            <a:graphicFrameLocks noChangeAspect="1"/>
          </wp:cNvGraphicFramePr>
          <a:graphic>
            <a:graphicData uri="http://schemas.openxmlformats.org/drawingml/2006/picture">
              <pic:pic>
                <pic:nvPicPr>
                  <pic:cNvPr id="0" name="Logo_horizontal_couleur.png"/>
                  <pic:cNvPicPr/>
                </pic:nvPicPr>
                <pic:blipFill>
                  <a:blip r:embed="rId1"/>
                  <a:stretch>
                    <a:fillRect/>
                  </a:stretch>
                </pic:blipFill>
                <pic:spPr>
                  <a:xfrm>
                    <a:off x="0" y="0"/>
                    <a:ext cx="1207989" cy="378000"/>
                  </a:xfrm>
                  <a:prstGeom prst="rect"/>
                </pic:spPr>
              </pic:pic>
            </a:graphicData>
          </a:graphic>
        </wp:inline>
      </w:drawing>
    </w:r>
    <w:r>
      <w:rPr>
        <w:color w:val="626262"/>
        <w:sz w:val="15"/>
      </w:rPr>
      <w:tab/>
      <w:t>Grille tarifaire · catégorie 6 · Formations et accompagnement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83" w:lineRule="auto"/>
    </w:pPr>
    <w:rPr>
      <w:rFonts w:ascii="Montserrat" w:hAnsi="Montserrat" w:cs="Montserrat" w:eastAsia="Montserrat"/>
      <w:color w:val="1E1E1E"/>
      <w:sz w:val="19"/>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64" w:lineRule="auto"/>
      <w:outlineLvl w:val="0"/>
    </w:pPr>
    <w:rPr>
      <w:rFonts w:ascii="Montserrat" w:hAnsi="Montserrat" w:cs="Montserrat" w:eastAsia="Montserrat"/>
      <w:b/>
      <w:bCs/>
      <w:i w:val="0"/>
      <w:color w:val="063D2E"/>
      <w:sz w:val="34"/>
      <w:szCs w:val="28"/>
    </w:rPr>
  </w:style>
  <w:style w:type="paragraph" w:styleId="Heading2">
    <w:name w:val="heading 2"/>
    <w:basedOn w:val="Normal"/>
    <w:next w:val="Normal"/>
    <w:link w:val="Heading2Char"/>
    <w:uiPriority w:val="9"/>
    <w:unhideWhenUsed/>
    <w:qFormat/>
    <w:rsid w:val="00FC693F"/>
    <w:pPr>
      <w:keepNext/>
      <w:keepLines/>
      <w:spacing w:before="280" w:after="100" w:line="264" w:lineRule="auto"/>
      <w:outlineLvl w:val="1"/>
    </w:pPr>
    <w:rPr>
      <w:rFonts w:ascii="Montserrat" w:hAnsi="Montserrat" w:cs="Montserrat" w:eastAsia="Montserrat"/>
      <w:b/>
      <w:bCs/>
      <w:i w:val="0"/>
      <w:color w:val="0B5A45"/>
      <w:sz w:val="25"/>
      <w:szCs w:val="26"/>
    </w:rPr>
  </w:style>
  <w:style w:type="paragraph" w:styleId="Heading3">
    <w:name w:val="heading 3"/>
    <w:basedOn w:val="Normal"/>
    <w:next w:val="Normal"/>
    <w:link w:val="Heading3Char"/>
    <w:uiPriority w:val="9"/>
    <w:unhideWhenUsed/>
    <w:qFormat/>
    <w:rsid w:val="00FC693F"/>
    <w:pPr>
      <w:keepNext/>
      <w:keepLines/>
      <w:spacing w:before="200" w:after="60" w:line="264" w:lineRule="auto"/>
      <w:outlineLvl w:val="2"/>
    </w:pPr>
    <w:rPr>
      <w:rFonts w:ascii="Montserrat" w:hAnsi="Montserrat" w:cs="Montserrat" w:eastAsia="Montserrat"/>
      <w:b/>
      <w:bCs/>
      <w:i w:val="0"/>
      <w:color w:val="0B5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6" w:lineRule="auto"/>
      <w:contextualSpacing/>
    </w:pPr>
    <w:rPr>
      <w:rFonts w:ascii="Montserrat" w:hAnsi="Montserrat"/>
      <w:sz w:val="19"/>
    </w:rPr>
  </w:style>
  <w:style w:type="paragraph" w:styleId="ListBullet2">
    <w:name w:val="List Bullet 2"/>
    <w:basedOn w:val="Normal"/>
    <w:uiPriority w:val="99"/>
    <w:unhideWhenUsed/>
    <w:rsid w:val="00326F90"/>
    <w:pPr>
      <w:numPr>
        <w:numId w:val="2"/>
      </w:numPr>
      <w:spacing w:after="50" w:line="276" w:lineRule="auto"/>
      <w:contextualSpacing/>
    </w:pPr>
    <w:rPr>
      <w:rFonts w:ascii="Montserrat" w:hAnsi="Montserrat"/>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80" w:before="120"/>
      <w:ind w:left="0"/>
    </w:pPr>
    <w:rPr>
      <w:b/>
      <w:color w:val="063D2E"/>
      <w:sz w:val="20"/>
    </w:rPr>
  </w:style>
  <w:style w:type="paragraph" w:customStyle="1" w:styleId="TOC2">
    <w:name w:val="TOC 2"/>
    <w:basedOn w:val="Normal"/>
    <w:pPr>
      <w:spacing w:after="60" w:before="0"/>
      <w:ind w:left="340"/>
    </w:pPr>
    <w:rPr>
      <w:b w:val="0"/>
      <w:color w:val="1E1E1E"/>
      <w:sz w:val="18"/>
    </w:rPr>
  </w:style>
  <w:style w:type="paragraph" w:customStyle="1" w:styleId="TTGCell">
    <w:name w:val="TTG Cell"/>
    <w:basedOn w:val="Normal"/>
    <w:pPr>
      <w:spacing w:after="30" w:before="0" w:line="264"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 tarifaire — Formations et accompagnement</dc:title>
  <dc:subject>Catégorie 6 sur 8 · tarifs indicatifs en FCFA, hors taxes</dc:subject>
  <dc:creator>TechnologyTrade Group</dc:creator>
  <cp:keywords>TTG-GT-02-C06</cp:keywords>
  <dc:description>Document modifiable — champs à compléter surlignés</dc:description>
  <cp:lastModifiedBy/>
  <cp:revision>1</cp:revision>
  <dcterms:created xsi:type="dcterms:W3CDTF">2013-12-23T23:15:00Z</dcterms:created>
  <dcterms:modified xsi:type="dcterms:W3CDTF">2013-12-23T23:15:00Z</dcterms:modified>
  <cp:category/>
  <dc:language>fr-FR</dc:language>
</cp:coreProperties>
</file>