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ayout w:type="fixed"/>
        <w:tblLook w:firstColumn="1" w:firstRow="1" w:lastColumn="0" w:lastRow="0" w:noHBand="0" w:noVBand="1" w:val="04A0"/>
        <w:tblLayout w:type="fixed"/>
        <w:tblW w:w="9639" w:type="dxa"/>
      </w:tblPr>
      <w:tblGrid>
        <w:gridCol w:w="9639"/>
      </w:tblGrid>
      <w:tr>
        <w:trPr>
          <w:trHeight w:val="6917" w:hRule="atLeast"/>
        </w:trPr>
        <w:tc>
          <w:tcPr>
            <w:tcW w:type="dxa" w:w="9638"/>
            <w:shd w:val="clear" w:color="auto" w:fill="063D2E"/>
            <w:tcMar>
              <w:top w:w="500" w:type="dxa"/>
              <w:left w:w="600" w:type="dxa"/>
              <w:bottom w:w="400" w:type="dxa"/>
              <w:right w:w="500" w:type="dxa"/>
            </w:tcMar>
            <w:vAlign w:val="top"/>
          </w:tcPr>
          <w:p>
            <w:pPr>
              <w:spacing w:after="1400"/>
            </w:pPr>
            <w:r>
              <w:drawing>
                <wp:inline xmlns:a="http://schemas.openxmlformats.org/drawingml/2006/main" xmlns:pic="http://schemas.openxmlformats.org/drawingml/2006/picture">
                  <wp:extent cx="2185885" cy="684000"/>
                  <wp:docPr id="1" name="Picture 1"/>
                  <wp:cNvGraphicFramePr>
                    <a:graphicFrameLocks noChangeAspect="1"/>
                  </wp:cNvGraphicFramePr>
                  <a:graphic>
                    <a:graphicData uri="http://schemas.openxmlformats.org/drawingml/2006/picture">
                      <pic:pic>
                        <pic:nvPicPr>
                          <pic:cNvPr id="0" name="Logo_horizontal_blanc.png"/>
                          <pic:cNvPicPr/>
                        </pic:nvPicPr>
                        <pic:blipFill>
                          <a:blip r:embed="rId11"/>
                          <a:stretch>
                            <a:fillRect/>
                          </a:stretch>
                        </pic:blipFill>
                        <pic:spPr>
                          <a:xfrm>
                            <a:off x="0" y="0"/>
                            <a:ext cx="2185885" cy="684000"/>
                          </a:xfrm>
                          <a:prstGeom prst="rect"/>
                        </pic:spPr>
                      </pic:pic>
                    </a:graphicData>
                  </a:graphic>
                </wp:inline>
              </w:drawing>
            </w:r>
          </w:p>
          <w:p>
            <w:pPr>
              <w:spacing w:after="200"/>
            </w:pPr>
            <w:r>
              <w:rPr>
                <w:b/>
                <w:color w:val="00A676"/>
                <w:sz w:val="20"/>
                <w:spacing w:val="40"/>
              </w:rPr>
              <w:t>GRILLE TARIFAIRE · CATÉGORIE 7</w:t>
            </w:r>
          </w:p>
          <w:p>
            <w:pPr>
              <w:spacing w:after="200" w:line="252" w:lineRule="auto"/>
            </w:pPr>
            <w:r>
              <w:rPr>
                <w:b/>
                <w:color w:val="FFFFFF"/>
                <w:sz w:val="56"/>
              </w:rPr>
              <w:t>Grille tarifaire — Maintenance, assistance et contrats récurrents</w:t>
            </w:r>
          </w:p>
          <w:p>
            <w:pPr>
              <w:spacing w:after="0" w:line="288" w:lineRule="auto"/>
            </w:pPr>
            <w:r>
              <w:rPr>
                <w:color w:val="D9EFE7"/>
                <w:sz w:val="24"/>
              </w:rPr>
              <w:t>Catégorie 7 sur 8 · tarifs indicatifs en FCFA, hors taxes</w:t>
            </w:r>
          </w:p>
        </w:tc>
      </w:tr>
    </w:tbl>
    <w:tbl>
      <w:tblPr>
        <w:jc w:val="center"/>
        <w:tblLayout w:type="fixed"/>
        <w:tblLook w:firstColumn="1" w:firstRow="1" w:lastColumn="0" w:lastRow="0" w:noHBand="0" w:noVBand="1" w:val="04A0"/>
        <w:tblLayout w:type="fixed"/>
        <w:tblW w:w="9639" w:type="dxa"/>
      </w:tblPr>
      <w:tblGrid>
        <w:gridCol w:w="9639"/>
      </w:tblGrid>
      <w:tr>
        <w:trPr>
          <w:trHeight w:val="125" w:hRule="exact"/>
        </w:trPr>
        <w:tc>
          <w:tcPr>
            <w:tcW w:type="dxa" w:w="9638"/>
            <w:shd w:val="clear" w:color="auto" w:fill="00A676"/>
          </w:tcPr>
          <w:p>
            <w:pPr>
              <w:spacing w:after="0"/>
            </w:pPr>
            <w:r>
              <w:rPr>
                <w:sz w:val="2"/>
              </w:rPr>
            </w:r>
          </w:p>
        </w:tc>
      </w:tr>
    </w:tbl>
    <w:p>
      <w:pPr>
        <w:spacing w:after="280"/>
      </w:pPr>
    </w:p>
    <w:tbl>
      <w:tblPr>
        <w:jc w:val="center"/>
        <w:tblLayout w:type="fixed"/>
        <w:tblLook w:firstColumn="1" w:firstRow="1" w:lastColumn="0" w:lastRow="0" w:noHBand="0" w:noVBand="1" w:val="04A0"/>
        <w:tblLayout w:type="fixed"/>
        <w:tblW w:w="9639" w:type="dxa"/>
      </w:tblPr>
      <w:tblGrid>
        <w:gridCol w:w="2381"/>
        <w:gridCol w:w="7257"/>
      </w:tblGrid>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RÉFÉRENCE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TTG-GT-02-C07</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VERSION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v1.0 — Projet</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DATE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Octobre 2026</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STATUT</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Projet provisoire — à valider par la direction</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DIFFUSION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Diffusion contrôlée — prospects, clients et partenaires</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ENTREPRISE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TechnologyTrade Group — République du Congo (Congo-Brazzaville)</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DIRIGEANT</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Daril Roslain KINGUENGA (mention à vérifier avant tout usage officiel)</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ÉTABLI POUR</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Prospects, clients et partenaires — après validation par la direction</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VALIDATION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color w:val="8A5A00"/>
                <w:sz w:val="18"/>
                <w:shd w:val="clear" w:color="auto" w:fill="FFF4D6"/>
              </w:rPr>
              <w:t>[À compléter : nom, fonction, date de validation]</w:t>
            </w:r>
          </w:p>
        </w:tc>
      </w:tr>
    </w:tbl>
    <w:p>
      <w:pPr>
        <w:spacing w:before="440"/>
      </w:pPr>
      <w:r>
        <w:rPr>
          <w:i/>
          <w:color w:val="626262"/>
          <w:sz w:val="16"/>
        </w:rPr>
        <w:t>Les éléments juridiques, administratifs, financiers et tarifaires de ce document sont des propositions de travail. Ils sont présentés comme provisoires tant qu'ils n'ont pas été validés par la direction et, le cas échéant, par un professionnel compétent. Les champs surlignés sont à compléter.</w:t>
      </w:r>
    </w:p>
    <w:p>
      <w:pPr>
        <w:spacing w:before="160"/>
      </w:pPr>
      <w:r>
        <w:rPr>
          <w:b/>
          <w:color w:val="0B5A45"/>
          <w:sz w:val="15"/>
          <w:spacing w:val="20"/>
        </w:rPr>
        <w:t>CONNECTING TECHNOLOGY. DRIVING TRADE. BUILDING AFRICA'S FUTURE.</w:t>
      </w:r>
    </w:p>
    <w:p>
      <w:pPr>
        <w:spacing w:after="0"/>
      </w:pPr>
      <w:r>
        <w:br w:type="page"/>
      </w:r>
    </w:p>
    <w:p>
      <w:pPr>
        <w:pStyle w:val="Heading1"/>
        <w:pBdr>
          <w:bottom w:val="single" w:sz="6" w:space="4" w:color="00A676"/>
        </w:pBdr>
      </w:pPr>
      <w:r>
        <w:t>1. Présentation de la catégorie</w:t>
      </w:r>
    </w:p>
    <w:p>
      <w:pPr>
        <w:spacing w:after="160"/>
      </w:pPr>
      <w:r>
        <w:rPr>
          <w:color w:val="063D2E"/>
          <w:sz w:val="22"/>
        </w:rPr>
        <w:t>Cette grille présente les prestations de la catégorie « Maintenance, assistance et contrats récurrents », leurs contenus, livrables, tarifs indicatifs, délais et conditions.</w:t>
      </w:r>
    </w:p>
    <w:p>
      <w:r>
        <w:rPr>
          <w:b/>
        </w:rPr>
        <w:t>Public concerné.</w:t>
      </w:r>
      <w:r>
        <w:t xml:space="preserve"> Clients disposant d’un site, d’une plateforme ou d’une application en production qui veulent la maintenir en bon état et obtenir de l’assistance.</w:t>
      </w:r>
    </w:p>
    <w:p>
      <w:pPr>
        <w:pStyle w:val="Heading2"/>
      </w:pPr>
      <w:r>
        <w:t>Comment choisir</w:t>
      </w:r>
    </w:p>
    <w:p>
      <w:pPr>
        <w:pStyle w:val="ListBullet"/>
      </w:pPr>
      <w:r>
        <w:t xml:space="preserve">Site vitrine ou institutionnel : </w:t>
      </w:r>
      <w:r>
        <w:rPr>
          <w:b/>
        </w:rPr>
        <w:t>MA01</w:t>
      </w:r>
      <w:r>
        <w:t xml:space="preserve"> (Essentiel).</w:t>
      </w:r>
    </w:p>
    <w:p>
      <w:pPr>
        <w:pStyle w:val="ListBullet"/>
      </w:pPr>
      <w:r>
        <w:t xml:space="preserve">Site complexe, portail, plateforme : </w:t>
      </w:r>
      <w:r>
        <w:rPr>
          <w:b/>
        </w:rPr>
        <w:t>MA02</w:t>
      </w:r>
      <w:r>
        <w:t xml:space="preserve"> (Standard).</w:t>
      </w:r>
    </w:p>
    <w:p>
      <w:pPr>
        <w:pStyle w:val="ListBullet"/>
      </w:pPr>
      <w:r>
        <w:t xml:space="preserve">Application métier critique : </w:t>
      </w:r>
      <w:r>
        <w:rPr>
          <w:b/>
        </w:rPr>
        <w:t>MA03</w:t>
      </w:r>
      <w:r>
        <w:t xml:space="preserve"> (Avancée, avec engagement de délais de réponse).</w:t>
      </w:r>
    </w:p>
    <w:p>
      <w:pPr>
        <w:pStyle w:val="ListBullet"/>
      </w:pPr>
      <w:r>
        <w:t xml:space="preserve">Besoin ponctuel : </w:t>
      </w:r>
      <w:r>
        <w:rPr>
          <w:b/>
        </w:rPr>
        <w:t>MA04</w:t>
      </w:r>
      <w:r>
        <w:t xml:space="preserve"> (pack de 10 heures). Hébergement : </w:t>
      </w:r>
      <w:r>
        <w:rPr>
          <w:b/>
        </w:rPr>
        <w:t>MA05</w:t>
      </w:r>
      <w:r>
        <w:t>.</w:t>
      </w:r>
    </w:p>
    <w:tbl>
      <w:tblPr>
        <w:jc w:val="center"/>
        <w:tblLayout w:type="fixed"/>
        <w:tblLook w:firstColumn="1" w:firstRow="1" w:lastColumn="0" w:lastRow="0" w:noHBand="0" w:noVBand="1" w:val="04A0"/>
        <w:tblLayout w:type="fixed"/>
        <w:tblW w:w="9639" w:type="dxa"/>
      </w:tblPr>
      <w:tblGrid>
        <w:gridCol w:w="9639"/>
      </w:tblGrid>
      <w:tr>
        <w:trPr>
          <w:cantSplit/>
        </w:trPr>
        <w:tc>
          <w:tcPr>
            <w:tcW w:type="dxa" w:w="9638"/>
            <w:shd w:val="clear" w:color="auto" w:fill="FFF4D6"/>
            <w:tcMar>
              <w:top w:w="110" w:type="dxa"/>
              <w:left w:w="180" w:type="dxa"/>
              <w:bottom w:w="110" w:type="dxa"/>
              <w:right w:w="160" w:type="dxa"/>
            </w:tcMar>
            <w:tcBorders>
              <w:top w:val="nil"/>
              <w:left w:val="single" w:sz="24" w:space="0" w:color="D99A00"/>
              <w:bottom w:val="nil"/>
              <w:right w:val="nil"/>
            </w:tcBorders>
          </w:tcPr>
          <w:p>
            <w:pPr>
              <w:pStyle w:val="TTGCell"/>
              <w:spacing w:after="40"/>
            </w:pPr>
            <w:r>
              <w:rPr>
                <w:b/>
                <w:color w:val="8A5A00"/>
                <w:sz w:val="18"/>
              </w:rPr>
              <w:t>Statut des tarifs : provisoire</w:t>
            </w:r>
          </w:p>
          <w:p>
            <w:pPr>
              <w:pStyle w:val="TTGCell"/>
            </w:pPr>
            <w:r>
              <w:rPr>
                <w:sz w:val="18"/>
              </w:rPr>
              <w:t xml:space="preserve">Les prix de cette grille sont des </w:t>
            </w:r>
            <w:r>
              <w:rPr>
                <w:b/>
                <w:sz w:val="18"/>
              </w:rPr>
              <w:t>propositions de travail</w:t>
            </w:r>
            <w:r>
              <w:rPr>
                <w:sz w:val="18"/>
              </w:rPr>
              <w:t xml:space="preserve"> à valider par la direction de TechnologyTrade Group. Ils sont indicatifs, exprimés en FCFA hors taxes, et ne remplacent pas le devis.</w:t>
            </w:r>
          </w:p>
        </w:tc>
      </w:tr>
    </w:tbl>
    <w:p>
      <w:pPr>
        <w:spacing w:after="100"/>
      </w:pPr>
    </w:p>
    <w:p>
      <w:pPr>
        <w:pStyle w:val="Heading1"/>
        <w:pBdr>
          <w:bottom w:val="single" w:sz="6" w:space="4" w:color="00A676"/>
        </w:pBdr>
      </w:pPr>
      <w:r>
        <w:t>2. Vue d’ensemble</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7"/>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7"/>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7"/>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7"/>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7"/>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7"/>
              </w:rPr>
              <w:t>MA01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Maintenance Essentiel (site web)</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7"/>
              </w:rPr>
              <w:t>75 000 – 150 000 FCFA / mois</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Démarrage sous 1 semaine</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Mensuel d’avance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MA02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Maintenance Standard (site ou plateforme)</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200 000 – 400 000 FCFA / mois</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Démarrage sous 1 semaine</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Mensuel d’avance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MA03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Maintenance Avancée (applications métier)</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550 000 – 1 100 000 FCFA / mois</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Démarrage sous 2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Mensuel d’avance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MA04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Pack d’assistance de 10 heures</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100 000 – 200 000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Prise en charge sous 2 jours ouvrés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100 % à la commande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MA05</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Hébergement géré et sauvegardes</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40 000 – 80 000 FCFA / mois</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Mise en service sous 1 semaine</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Mensuel d’avance</w:t>
            </w:r>
          </w:p>
        </w:tc>
      </w:tr>
    </w:tbl>
    <w:p>
      <w:pPr>
        <w:spacing w:after="80"/>
      </w:pPr>
    </w:p>
    <w:p>
      <w:pPr>
        <w:pStyle w:val="Heading2"/>
      </w:pPr>
      <w:r>
        <w:t>Autres prestations récurrentes (voir les catégories 4, 6 et 8)</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7"/>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7"/>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7"/>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7"/>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7"/>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7"/>
              </w:rPr>
              <w:t>CD02</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Gestion des réseaux sociaux (mensuel)</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7"/>
              </w:rPr>
              <w:t>275 000 – 550 000 FCFA / mois</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Démarrage sous 1 semaine ; engagement de 3 mois minimum</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Mensuel d’avance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CD04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Gestion de campagnes publicitaires en ligne (mensuel)</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225 000 – 450 000 FCFA / mois</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Démarrage sous 1 semaine ; engagement de 3 mois minimum</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Mensuel d’avance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FO05</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Accompagnement individuel (mensuel)</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150 000 – 325 000 FCFA / mois</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Démarrage sous 1 semaine ; engagement de 3 mois minimum</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Mensuel d’avance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CT04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Assistance à maîtrise d’ouvrage (mensuel)</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725 000 – 1 450 000 FCFA / mois</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Engagement de 3 mois minimum</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Mensuel à terme échu</w:t>
            </w:r>
          </w:p>
        </w:tc>
      </w:tr>
    </w:tbl>
    <w:p>
      <w:pPr>
        <w:spacing w:after="80"/>
      </w:pPr>
    </w:p>
    <w:p>
      <w:pPr>
        <w:spacing w:after="0"/>
      </w:pPr>
      <w:r>
        <w:br w:type="page"/>
      </w:r>
    </w:p>
    <w:p>
      <w:pPr>
        <w:pStyle w:val="Heading1"/>
        <w:pBdr>
          <w:bottom w:val="single" w:sz="6" w:space="4" w:color="00A676"/>
        </w:pBdr>
      </w:pPr>
      <w:r>
        <w:t>3. Fiches détaillées des offres</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MA01   </w:t>
            </w:r>
            <w:r>
              <w:rPr>
                <w:b/>
                <w:color w:val="FFFFFF"/>
                <w:sz w:val="20"/>
              </w:rPr>
              <w:t>Maintenance Essentiel (site web)</w:t>
            </w:r>
            <w:r>
              <w:rPr>
                <w:b/>
                <w:color w:val="FFFFFF"/>
                <w:sz w:val="19"/>
              </w:rPr>
              <w:tab/>
              <w:t>75 000 – 150 000 FCFA / mois</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Maintenance préventive et corrective d’un site vitrine ou institutionnel.</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Mises à jour de sécurité</w:t>
            </w:r>
          </w:p>
          <w:p>
            <w:pPr>
              <w:pStyle w:val="TTGCell"/>
              <w:keepNext/>
              <w:keepLines/>
              <w:ind w:left="170" w:hanging="170"/>
            </w:pPr>
            <w:r>
              <w:rPr>
                <w:b/>
                <w:color w:val="00A676"/>
                <w:sz w:val="16"/>
              </w:rPr>
              <w:t xml:space="preserve">• </w:t>
            </w:r>
            <w:r>
              <w:rPr>
                <w:sz w:val="16"/>
              </w:rPr>
              <w:t>Sauvegarde mensuelle</w:t>
            </w:r>
          </w:p>
          <w:p>
            <w:pPr>
              <w:pStyle w:val="TTGCell"/>
              <w:keepNext/>
              <w:keepLines/>
              <w:ind w:left="170" w:hanging="170"/>
            </w:pPr>
            <w:r>
              <w:rPr>
                <w:b/>
                <w:color w:val="00A676"/>
                <w:sz w:val="16"/>
              </w:rPr>
              <w:t xml:space="preserve">• </w:t>
            </w:r>
            <w:r>
              <w:rPr>
                <w:sz w:val="16"/>
              </w:rPr>
              <w:t>Corrections d’anomalies</w:t>
            </w:r>
          </w:p>
          <w:p>
            <w:pPr>
              <w:pStyle w:val="TTGCell"/>
              <w:keepNext/>
              <w:keepLines/>
              <w:ind w:left="170" w:hanging="170"/>
            </w:pPr>
            <w:r>
              <w:rPr>
                <w:b/>
                <w:color w:val="00A676"/>
                <w:sz w:val="16"/>
              </w:rPr>
              <w:t xml:space="preserve">• </w:t>
            </w:r>
            <w:r>
              <w:rPr>
                <w:sz w:val="16"/>
              </w:rPr>
              <w:t>Jusqu’à 2 h de modifications de contenu par mois</w:t>
            </w:r>
          </w:p>
          <w:p>
            <w:pPr>
              <w:pStyle w:val="TTGCell"/>
              <w:keepNext/>
              <w:keepLines/>
              <w:ind w:left="170" w:hanging="170"/>
            </w:pPr>
            <w:r>
              <w:rPr>
                <w:b/>
                <w:color w:val="00A676"/>
                <w:sz w:val="16"/>
              </w:rPr>
              <w:t xml:space="preserve">• </w:t>
            </w:r>
            <w:r>
              <w:rPr>
                <w:sz w:val="16"/>
              </w:rPr>
              <w:t>Réponse sous 2 jours ouvrés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Rapport trimestriel</w:t>
            </w:r>
          </w:p>
          <w:p>
            <w:pPr>
              <w:pStyle w:val="TTGCell"/>
              <w:keepNext/>
              <w:keepLines/>
              <w:ind w:left="170" w:hanging="170"/>
            </w:pPr>
            <w:r>
              <w:rPr>
                <w:b/>
                <w:color w:val="00A676"/>
                <w:sz w:val="16"/>
              </w:rPr>
              <w:t xml:space="preserve">• </w:t>
            </w:r>
            <w:r>
              <w:rPr>
                <w:sz w:val="16"/>
              </w:rPr>
              <w:t>Sauvegardes conservées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Démarrage sous 1 semaine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Mensualité payable d’avance en début de mois. Engagement initial de 12 mois, reconductible.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Évolutions fonctionnelles</w:t>
            </w:r>
          </w:p>
          <w:p>
            <w:pPr>
              <w:pStyle w:val="TTGCell"/>
              <w:keepNext w:val="0"/>
              <w:keepLines/>
              <w:ind w:left="170" w:hanging="170"/>
            </w:pPr>
            <w:r>
              <w:rPr>
                <w:b/>
                <w:color w:val="00A676"/>
                <w:sz w:val="16"/>
              </w:rPr>
              <w:t xml:space="preserve">• </w:t>
            </w:r>
            <w:r>
              <w:rPr>
                <w:sz w:val="16"/>
              </w:rPr>
              <w:t>Hébergement (voir MA05)</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Taille et technologie du site</w:t>
            </w:r>
          </w:p>
          <w:p>
            <w:pPr>
              <w:pStyle w:val="TTGCell"/>
              <w:keepNext w:val="0"/>
              <w:keepLines/>
              <w:ind w:left="170" w:hanging="170"/>
            </w:pPr>
            <w:r>
              <w:rPr>
                <w:b/>
                <w:color w:val="00A676"/>
                <w:sz w:val="16"/>
              </w:rPr>
              <w:t xml:space="preserve">• </w:t>
            </w:r>
            <w:r>
              <w:rPr>
                <w:sz w:val="16"/>
              </w:rPr>
              <w:t>Délai de réponse souhaité</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MA02   </w:t>
            </w:r>
            <w:r>
              <w:rPr>
                <w:b/>
                <w:color w:val="FFFFFF"/>
                <w:sz w:val="20"/>
              </w:rPr>
              <w:t>Maintenance Standard (site ou plateforme)</w:t>
            </w:r>
            <w:r>
              <w:rPr>
                <w:b/>
                <w:color w:val="FFFFFF"/>
                <w:sz w:val="19"/>
              </w:rPr>
              <w:tab/>
              <w:t>200 000 – 400 000 FCFA / mois</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Maintenance suivie d’un site complexe, d’une plateforme ou d’un portail, avec supervision.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Supervision de disponibilité</w:t>
            </w:r>
          </w:p>
          <w:p>
            <w:pPr>
              <w:pStyle w:val="TTGCell"/>
              <w:keepNext/>
              <w:keepLines/>
              <w:ind w:left="170" w:hanging="170"/>
            </w:pPr>
            <w:r>
              <w:rPr>
                <w:b/>
                <w:color w:val="00A676"/>
                <w:sz w:val="16"/>
              </w:rPr>
              <w:t xml:space="preserve">• </w:t>
            </w:r>
            <w:r>
              <w:rPr>
                <w:sz w:val="16"/>
              </w:rPr>
              <w:t>Mises à jour et correctifs</w:t>
            </w:r>
          </w:p>
          <w:p>
            <w:pPr>
              <w:pStyle w:val="TTGCell"/>
              <w:keepNext/>
              <w:keepLines/>
              <w:ind w:left="170" w:hanging="170"/>
            </w:pPr>
            <w:r>
              <w:rPr>
                <w:b/>
                <w:color w:val="00A676"/>
                <w:sz w:val="16"/>
              </w:rPr>
              <w:t xml:space="preserve">• </w:t>
            </w:r>
            <w:r>
              <w:rPr>
                <w:sz w:val="16"/>
              </w:rPr>
              <w:t>Sauvegardes hebdomadaires</w:t>
            </w:r>
          </w:p>
          <w:p>
            <w:pPr>
              <w:pStyle w:val="TTGCell"/>
              <w:keepNext/>
              <w:keepLines/>
              <w:ind w:left="170" w:hanging="170"/>
            </w:pPr>
            <w:r>
              <w:rPr>
                <w:b/>
                <w:color w:val="00A676"/>
                <w:sz w:val="16"/>
              </w:rPr>
              <w:t xml:space="preserve">• </w:t>
            </w:r>
            <w:r>
              <w:rPr>
                <w:sz w:val="16"/>
              </w:rPr>
              <w:t>Jusqu’à 5 h d’évolutions ou de support par mois</w:t>
            </w:r>
          </w:p>
          <w:p>
            <w:pPr>
              <w:pStyle w:val="TTGCell"/>
              <w:keepNext/>
              <w:keepLines/>
              <w:ind w:left="170" w:hanging="170"/>
            </w:pPr>
            <w:r>
              <w:rPr>
                <w:b/>
                <w:color w:val="00A676"/>
                <w:sz w:val="16"/>
              </w:rPr>
              <w:t xml:space="preserve">• </w:t>
            </w:r>
            <w:r>
              <w:rPr>
                <w:sz w:val="16"/>
              </w:rPr>
              <w:t>Réponse sous 1 jour ouvré</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Rapport mensuel</w:t>
            </w:r>
          </w:p>
          <w:p>
            <w:pPr>
              <w:pStyle w:val="TTGCell"/>
              <w:keepNext/>
              <w:keepLines/>
              <w:ind w:left="170" w:hanging="170"/>
            </w:pPr>
            <w:r>
              <w:rPr>
                <w:b/>
                <w:color w:val="00A676"/>
                <w:sz w:val="16"/>
              </w:rPr>
              <w:t xml:space="preserve">• </w:t>
            </w:r>
            <w:r>
              <w:rPr>
                <w:sz w:val="16"/>
              </w:rPr>
              <w:t>Journal des interventions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Démarrage sous 1 semaine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Mensualité payable d’avance en début de mois. Engagement initial de 12 mois, reconductible.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Nouvelles fonctionnalités majeures</w:t>
            </w:r>
          </w:p>
          <w:p>
            <w:pPr>
              <w:pStyle w:val="TTGCell"/>
              <w:keepNext w:val="0"/>
              <w:keepLines/>
              <w:ind w:left="170" w:hanging="170"/>
            </w:pPr>
            <w:r>
              <w:rPr>
                <w:b/>
                <w:color w:val="00A676"/>
                <w:sz w:val="16"/>
              </w:rPr>
              <w:t xml:space="preserve">• </w:t>
            </w:r>
            <w:r>
              <w:rPr>
                <w:sz w:val="16"/>
              </w:rPr>
              <w:t>Hébergement (voir MA05)</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Complexité technique</w:t>
            </w:r>
          </w:p>
          <w:p>
            <w:pPr>
              <w:pStyle w:val="TTGCell"/>
              <w:keepNext w:val="0"/>
              <w:keepLines/>
              <w:ind w:left="170" w:hanging="170"/>
            </w:pPr>
            <w:r>
              <w:rPr>
                <w:b/>
                <w:color w:val="00A676"/>
                <w:sz w:val="16"/>
              </w:rPr>
              <w:t xml:space="preserve">• </w:t>
            </w:r>
            <w:r>
              <w:rPr>
                <w:sz w:val="16"/>
              </w:rPr>
              <w:t>Nombre d’utilisateurs</w:t>
            </w:r>
          </w:p>
          <w:p>
            <w:pPr>
              <w:pStyle w:val="TTGCell"/>
              <w:keepNext w:val="0"/>
              <w:keepLines/>
              <w:ind w:left="170" w:hanging="170"/>
            </w:pPr>
            <w:r>
              <w:rPr>
                <w:b/>
                <w:color w:val="00A676"/>
                <w:sz w:val="16"/>
              </w:rPr>
              <w:t xml:space="preserve">• </w:t>
            </w:r>
            <w:r>
              <w:rPr>
                <w:sz w:val="16"/>
              </w:rPr>
              <w:t>Niveau de service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MA03   </w:t>
            </w:r>
            <w:r>
              <w:rPr>
                <w:b/>
                <w:color w:val="FFFFFF"/>
                <w:sz w:val="20"/>
              </w:rPr>
              <w:t>Maintenance Avancée (applications métier)</w:t>
            </w:r>
            <w:r>
              <w:rPr>
                <w:b/>
                <w:color w:val="FFFFFF"/>
                <w:sz w:val="19"/>
              </w:rPr>
              <w:tab/>
              <w:t>550 000 – 1 100 000 FCFA / mois</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Maintenance et assistance d’applications critiques, avec engagement de délais de réponse.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Supervision continue et alertes</w:t>
            </w:r>
          </w:p>
          <w:p>
            <w:pPr>
              <w:pStyle w:val="TTGCell"/>
              <w:keepNext/>
              <w:keepLines/>
              <w:ind w:left="170" w:hanging="170"/>
            </w:pPr>
            <w:r>
              <w:rPr>
                <w:b/>
                <w:color w:val="00A676"/>
                <w:sz w:val="16"/>
              </w:rPr>
              <w:t xml:space="preserve">• </w:t>
            </w:r>
            <w:r>
              <w:rPr>
                <w:sz w:val="16"/>
              </w:rPr>
              <w:t>Correctifs prioritaires</w:t>
            </w:r>
          </w:p>
          <w:p>
            <w:pPr>
              <w:pStyle w:val="TTGCell"/>
              <w:keepNext/>
              <w:keepLines/>
              <w:ind w:left="170" w:hanging="170"/>
            </w:pPr>
            <w:r>
              <w:rPr>
                <w:b/>
                <w:color w:val="00A676"/>
                <w:sz w:val="16"/>
              </w:rPr>
              <w:t xml:space="preserve">• </w:t>
            </w:r>
            <w:r>
              <w:rPr>
                <w:sz w:val="16"/>
              </w:rPr>
              <w:t>Sauvegardes quotidiennes</w:t>
            </w:r>
          </w:p>
          <w:p>
            <w:pPr>
              <w:pStyle w:val="TTGCell"/>
              <w:keepNext/>
              <w:keepLines/>
              <w:ind w:left="170" w:hanging="170"/>
            </w:pPr>
            <w:r>
              <w:rPr>
                <w:b/>
                <w:color w:val="00A676"/>
                <w:sz w:val="16"/>
              </w:rPr>
              <w:t xml:space="preserve">• </w:t>
            </w:r>
            <w:r>
              <w:rPr>
                <w:sz w:val="16"/>
              </w:rPr>
              <w:t>Jusqu’à 12 h d’évolutions ou de support par mois</w:t>
            </w:r>
          </w:p>
          <w:p>
            <w:pPr>
              <w:pStyle w:val="TTGCell"/>
              <w:keepNext/>
              <w:keepLines/>
              <w:ind w:left="170" w:hanging="170"/>
            </w:pPr>
            <w:r>
              <w:rPr>
                <w:b/>
                <w:color w:val="00A676"/>
                <w:sz w:val="16"/>
              </w:rPr>
              <w:t xml:space="preserve">• </w:t>
            </w:r>
            <w:r>
              <w:rPr>
                <w:sz w:val="16"/>
              </w:rPr>
              <w:t>Réponse sous 4 heures ouvrées pour les incidents bloquants</w:t>
            </w:r>
          </w:p>
          <w:p>
            <w:pPr>
              <w:pStyle w:val="TTGCell"/>
              <w:keepNext/>
              <w:keepLines/>
              <w:ind w:left="170" w:hanging="170"/>
            </w:pPr>
            <w:r>
              <w:rPr>
                <w:b/>
                <w:color w:val="00A676"/>
                <w:sz w:val="16"/>
              </w:rPr>
              <w:t xml:space="preserve">• </w:t>
            </w:r>
            <w:r>
              <w:rPr>
                <w:sz w:val="16"/>
              </w:rPr>
              <w:t>Revue trimestrielle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Rapport mensuel</w:t>
            </w:r>
          </w:p>
          <w:p>
            <w:pPr>
              <w:pStyle w:val="TTGCell"/>
              <w:keepNext/>
              <w:keepLines/>
              <w:ind w:left="170" w:hanging="170"/>
            </w:pPr>
            <w:r>
              <w:rPr>
                <w:b/>
                <w:color w:val="00A676"/>
                <w:sz w:val="16"/>
              </w:rPr>
              <w:t xml:space="preserve">• </w:t>
            </w:r>
            <w:r>
              <w:rPr>
                <w:sz w:val="16"/>
              </w:rPr>
              <w:t>Revue trimestrielle</w:t>
            </w:r>
          </w:p>
          <w:p>
            <w:pPr>
              <w:pStyle w:val="TTGCell"/>
              <w:keepNext/>
              <w:keepLines/>
              <w:ind w:left="170" w:hanging="170"/>
            </w:pPr>
            <w:r>
              <w:rPr>
                <w:b/>
                <w:color w:val="00A676"/>
                <w:sz w:val="16"/>
              </w:rPr>
              <w:t xml:space="preserve">• </w:t>
            </w:r>
            <w:r>
              <w:rPr>
                <w:sz w:val="16"/>
              </w:rPr>
              <w:t>Journal des incidents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Démarrage sous 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Mensualité payable d’avance en début de mois. Engagement initial de 12 mois, reconductible.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Développements majeurs (devis séparé)</w:t>
            </w:r>
          </w:p>
          <w:p>
            <w:pPr>
              <w:pStyle w:val="TTGCell"/>
              <w:keepNext w:val="0"/>
              <w:keepLines/>
              <w:ind w:left="170" w:hanging="170"/>
            </w:pPr>
            <w:r>
              <w:rPr>
                <w:b/>
                <w:color w:val="00A676"/>
                <w:sz w:val="16"/>
              </w:rPr>
              <w:t xml:space="preserve">• </w:t>
            </w:r>
            <w:r>
              <w:rPr>
                <w:sz w:val="16"/>
              </w:rPr>
              <w:t>Hébergement (voir MA05)</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Criticité</w:t>
            </w:r>
          </w:p>
          <w:p>
            <w:pPr>
              <w:pStyle w:val="TTGCell"/>
              <w:keepNext w:val="0"/>
              <w:keepLines/>
              <w:ind w:left="170" w:hanging="170"/>
            </w:pPr>
            <w:r>
              <w:rPr>
                <w:b/>
                <w:color w:val="00A676"/>
                <w:sz w:val="16"/>
              </w:rPr>
              <w:t xml:space="preserve">• </w:t>
            </w:r>
            <w:r>
              <w:rPr>
                <w:sz w:val="16"/>
              </w:rPr>
              <w:t>Horaires de couverture</w:t>
            </w:r>
          </w:p>
          <w:p>
            <w:pPr>
              <w:pStyle w:val="TTGCell"/>
              <w:keepNext w:val="0"/>
              <w:keepLines/>
              <w:ind w:left="170" w:hanging="170"/>
            </w:pPr>
            <w:r>
              <w:rPr>
                <w:b/>
                <w:color w:val="00A676"/>
                <w:sz w:val="16"/>
              </w:rPr>
              <w:t xml:space="preserve">• </w:t>
            </w:r>
            <w:r>
              <w:rPr>
                <w:sz w:val="16"/>
              </w:rPr>
              <w:t>Nombre d’utilisateurs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MA04   </w:t>
            </w:r>
            <w:r>
              <w:rPr>
                <w:b/>
                <w:color w:val="FFFFFF"/>
                <w:sz w:val="20"/>
              </w:rPr>
              <w:t>Pack d’assistance de 10 heures</w:t>
            </w:r>
            <w:r>
              <w:rPr>
                <w:b/>
                <w:color w:val="FFFFFF"/>
                <w:sz w:val="19"/>
              </w:rPr>
              <w:tab/>
              <w:t>100 000 – 200 000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Pack d’heures d’assistance utilisables sur 6 mois pour des demandes ponctuelles.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10 heures d’assistance à distance</w:t>
            </w:r>
          </w:p>
          <w:p>
            <w:pPr>
              <w:pStyle w:val="TTGCell"/>
              <w:keepNext/>
              <w:keepLines/>
              <w:ind w:left="170" w:hanging="170"/>
            </w:pPr>
            <w:r>
              <w:rPr>
                <w:b/>
                <w:color w:val="00A676"/>
                <w:sz w:val="16"/>
              </w:rPr>
              <w:t xml:space="preserve">• </w:t>
            </w:r>
            <w:r>
              <w:rPr>
                <w:sz w:val="16"/>
              </w:rPr>
              <w:t>Utilisation sur 6 mois</w:t>
            </w:r>
          </w:p>
          <w:p>
            <w:pPr>
              <w:pStyle w:val="TTGCell"/>
              <w:keepNext/>
              <w:keepLines/>
              <w:ind w:left="170" w:hanging="170"/>
            </w:pPr>
            <w:r>
              <w:rPr>
                <w:b/>
                <w:color w:val="00A676"/>
                <w:sz w:val="16"/>
              </w:rPr>
              <w:t xml:space="preserve">• </w:t>
            </w:r>
            <w:r>
              <w:rPr>
                <w:sz w:val="16"/>
              </w:rPr>
              <w:t>Compte rendu de chaque intervention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Compte rendus d’intervention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Prise en charge sous 2 jours ouvrés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Paiement intégral à la commande.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Interventions sur place</w:t>
            </w:r>
          </w:p>
          <w:p>
            <w:pPr>
              <w:pStyle w:val="TTGCell"/>
              <w:keepNext w:val="0"/>
              <w:keepLines/>
              <w:ind w:left="170" w:hanging="170"/>
            </w:pPr>
            <w:r>
              <w:rPr>
                <w:b/>
                <w:color w:val="00A676"/>
                <w:sz w:val="16"/>
              </w:rPr>
              <w:t xml:space="preserve">• </w:t>
            </w:r>
            <w:r>
              <w:rPr>
                <w:sz w:val="16"/>
              </w:rPr>
              <w:t>Heures non utilisées après 6 mois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Urgence</w:t>
            </w:r>
          </w:p>
          <w:p>
            <w:pPr>
              <w:pStyle w:val="TTGCell"/>
              <w:keepNext w:val="0"/>
              <w:keepLines/>
              <w:ind w:left="170" w:hanging="170"/>
            </w:pPr>
            <w:r>
              <w:rPr>
                <w:b/>
                <w:color w:val="00A676"/>
                <w:sz w:val="16"/>
              </w:rPr>
              <w:t xml:space="preserve">• </w:t>
            </w:r>
            <w:r>
              <w:rPr>
                <w:sz w:val="16"/>
              </w:rPr>
              <w:t>Complexité des demandes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MA05   </w:t>
            </w:r>
            <w:r>
              <w:rPr>
                <w:b/>
                <w:color w:val="FFFFFF"/>
                <w:sz w:val="20"/>
              </w:rPr>
              <w:t>Hébergement géré et sauvegardes</w:t>
            </w:r>
            <w:r>
              <w:rPr>
                <w:b/>
                <w:color w:val="FFFFFF"/>
                <w:sz w:val="19"/>
              </w:rPr>
              <w:tab/>
              <w:t>40 000 – 80 000 FCFA / mois</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Hébergement sécurisé d’un site ou d’une application avec sauvegardes et supervision.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Hébergement sur infrastructure fiable</w:t>
            </w:r>
          </w:p>
          <w:p>
            <w:pPr>
              <w:pStyle w:val="TTGCell"/>
              <w:keepNext/>
              <w:keepLines/>
              <w:ind w:left="170" w:hanging="170"/>
            </w:pPr>
            <w:r>
              <w:rPr>
                <w:b/>
                <w:color w:val="00A676"/>
                <w:sz w:val="16"/>
              </w:rPr>
              <w:t xml:space="preserve">• </w:t>
            </w:r>
            <w:r>
              <w:rPr>
                <w:sz w:val="16"/>
              </w:rPr>
              <w:t>Certificat de sécurité</w:t>
            </w:r>
          </w:p>
          <w:p>
            <w:pPr>
              <w:pStyle w:val="TTGCell"/>
              <w:keepNext/>
              <w:keepLines/>
              <w:ind w:left="170" w:hanging="170"/>
            </w:pPr>
            <w:r>
              <w:rPr>
                <w:b/>
                <w:color w:val="00A676"/>
                <w:sz w:val="16"/>
              </w:rPr>
              <w:t xml:space="preserve">• </w:t>
            </w:r>
            <w:r>
              <w:rPr>
                <w:sz w:val="16"/>
              </w:rPr>
              <w:t>Sauvegardes automatiques</w:t>
            </w:r>
          </w:p>
          <w:p>
            <w:pPr>
              <w:pStyle w:val="TTGCell"/>
              <w:keepNext/>
              <w:keepLines/>
              <w:ind w:left="170" w:hanging="170"/>
            </w:pPr>
            <w:r>
              <w:rPr>
                <w:b/>
                <w:color w:val="00A676"/>
                <w:sz w:val="16"/>
              </w:rPr>
              <w:t xml:space="preserve">• </w:t>
            </w:r>
            <w:r>
              <w:rPr>
                <w:sz w:val="16"/>
              </w:rPr>
              <w:t>Supervision de base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Attestation de service</w:t>
            </w:r>
          </w:p>
          <w:p>
            <w:pPr>
              <w:pStyle w:val="TTGCell"/>
              <w:keepNext/>
              <w:keepLines/>
              <w:ind w:left="170" w:hanging="170"/>
            </w:pPr>
            <w:r>
              <w:rPr>
                <w:b/>
                <w:color w:val="00A676"/>
                <w:sz w:val="16"/>
              </w:rPr>
              <w:t xml:space="preserve">• </w:t>
            </w:r>
            <w:r>
              <w:rPr>
                <w:sz w:val="16"/>
              </w:rPr>
              <w:t>Rapport annuel de disponibilité</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Mise en service sous 1 semaine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Mensualité payable d’avance en début de mois. Engagement initial de 12 mois, reconductible.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Développement</w:t>
            </w:r>
          </w:p>
          <w:p>
            <w:pPr>
              <w:pStyle w:val="TTGCell"/>
              <w:keepNext w:val="0"/>
              <w:keepLines/>
              <w:ind w:left="170" w:hanging="170"/>
            </w:pPr>
            <w:r>
              <w:rPr>
                <w:b/>
                <w:color w:val="00A676"/>
                <w:sz w:val="16"/>
              </w:rPr>
              <w:t xml:space="preserve">• </w:t>
            </w:r>
            <w:r>
              <w:rPr>
                <w:sz w:val="16"/>
              </w:rPr>
              <w:t>Trafic exceptionnel (sur devis)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Espace disque</w:t>
            </w:r>
          </w:p>
          <w:p>
            <w:pPr>
              <w:pStyle w:val="TTGCell"/>
              <w:keepNext w:val="0"/>
              <w:keepLines/>
              <w:ind w:left="170" w:hanging="170"/>
            </w:pPr>
            <w:r>
              <w:rPr>
                <w:b/>
                <w:color w:val="00A676"/>
                <w:sz w:val="16"/>
              </w:rPr>
              <w:t xml:space="preserve">• </w:t>
            </w:r>
            <w:r>
              <w:rPr>
                <w:sz w:val="16"/>
              </w:rPr>
              <w:t>Trafic</w:t>
            </w:r>
          </w:p>
          <w:p>
            <w:pPr>
              <w:pStyle w:val="TTGCell"/>
              <w:keepNext w:val="0"/>
              <w:keepLines/>
              <w:ind w:left="170" w:hanging="170"/>
            </w:pPr>
            <w:r>
              <w:rPr>
                <w:b/>
                <w:color w:val="00A676"/>
                <w:sz w:val="16"/>
              </w:rPr>
              <w:t xml:space="preserve">• </w:t>
            </w:r>
            <w:r>
              <w:rPr>
                <w:sz w:val="16"/>
              </w:rPr>
              <w:t>Niveau de sauvegarde</w:t>
            </w:r>
          </w:p>
        </w:tc>
      </w:tr>
    </w:tbl>
    <w:p>
      <w:pPr>
        <w:spacing w:after="140"/>
      </w:pPr>
    </w:p>
    <w:p>
      <w:pPr>
        <w:pStyle w:val="Heading1"/>
        <w:pBdr>
          <w:bottom w:val="single" w:sz="6" w:space="4" w:color="00A676"/>
        </w:pBdr>
      </w:pPr>
      <w:r>
        <w:t>4. Options applicables</w:t>
      </w:r>
    </w:p>
    <w:tbl>
      <w:tblPr>
        <w:jc w:val="center"/>
        <w:tblLayout w:type="fixed"/>
        <w:tblLook w:firstColumn="1" w:firstRow="1" w:lastColumn="0" w:lastRow="0" w:noHBand="0" w:noVBand="1" w:val="04A0"/>
        <w:tblLayout w:type="fixed"/>
        <w:tblW w:w="9639" w:type="dxa"/>
      </w:tblPr>
      <w:tblGrid>
        <w:gridCol w:w="850"/>
        <w:gridCol w:w="4706"/>
        <w:gridCol w:w="1927"/>
        <w:gridCol w:w="2154"/>
      </w:tblGrid>
      <w:tr>
        <w:trPr>
          <w:tblHeader w:val="true"/>
          <w:cantSplit/>
        </w:trPr>
        <w:tc>
          <w:tcPr>
            <w:tcW w:type="dxa" w:w="850"/>
            <w:shd w:val="clear" w:color="auto" w:fill="0B5A45"/>
            <w:tcMar>
              <w:top w:w="70" w:type="dxa"/>
              <w:left w:w="90" w:type="dxa"/>
              <w:bottom w:w="70" w:type="dxa"/>
              <w:right w:w="90" w:type="dxa"/>
            </w:tcMar>
            <w:vAlign w:val="center"/>
          </w:tcPr>
          <w:p>
            <w:pPr>
              <w:pStyle w:val="TTGCell"/>
            </w:pPr>
            <w:r>
              <w:rPr>
                <w:b/>
                <w:color w:val="FFFFFF"/>
                <w:sz w:val="17"/>
              </w:rPr>
              <w:t>Code</w:t>
            </w:r>
          </w:p>
        </w:tc>
        <w:tc>
          <w:tcPr>
            <w:tcW w:type="dxa" w:w="4706"/>
            <w:shd w:val="clear" w:color="auto" w:fill="0B5A45"/>
            <w:tcMar>
              <w:top w:w="70" w:type="dxa"/>
              <w:left w:w="90" w:type="dxa"/>
              <w:bottom w:w="70" w:type="dxa"/>
              <w:right w:w="90" w:type="dxa"/>
            </w:tcMar>
            <w:vAlign w:val="center"/>
          </w:tcPr>
          <w:p>
            <w:pPr>
              <w:pStyle w:val="TTGCell"/>
            </w:pPr>
            <w:r>
              <w:rPr>
                <w:b/>
                <w:color w:val="FFFFFF"/>
                <w:sz w:val="17"/>
              </w:rPr>
              <w:t>Option ou supplément</w:t>
            </w:r>
          </w:p>
        </w:tc>
        <w:tc>
          <w:tcPr>
            <w:tcW w:type="dxa" w:w="1928"/>
            <w:shd w:val="clear" w:color="auto" w:fill="0B5A45"/>
            <w:tcMar>
              <w:top w:w="70" w:type="dxa"/>
              <w:left w:w="90" w:type="dxa"/>
              <w:bottom w:w="70" w:type="dxa"/>
              <w:right w:w="90" w:type="dxa"/>
            </w:tcMar>
            <w:vAlign w:val="center"/>
          </w:tcPr>
          <w:p>
            <w:pPr>
              <w:pStyle w:val="TTGCell"/>
              <w:jc w:val="right"/>
            </w:pPr>
            <w:r>
              <w:rPr>
                <w:b/>
                <w:color w:val="FFFFFF"/>
                <w:sz w:val="17"/>
              </w:rPr>
              <w:t>Prix indicatif HT</w:t>
            </w:r>
          </w:p>
        </w:tc>
        <w:tc>
          <w:tcPr>
            <w:tcW w:type="dxa" w:w="2154"/>
            <w:shd w:val="clear" w:color="auto" w:fill="0B5A45"/>
            <w:tcMar>
              <w:top w:w="70" w:type="dxa"/>
              <w:left w:w="90" w:type="dxa"/>
              <w:bottom w:w="70" w:type="dxa"/>
              <w:right w:w="90" w:type="dxa"/>
            </w:tcMar>
            <w:vAlign w:val="center"/>
          </w:tcPr>
          <w:p>
            <w:pPr>
              <w:pStyle w:val="TTGCell"/>
            </w:pPr>
            <w:r>
              <w:rPr>
                <w:b/>
                <w:color w:val="FFFFFF"/>
                <w:sz w:val="17"/>
              </w:rPr>
              <w:t>Unité ou condition</w:t>
            </w:r>
          </w:p>
        </w:tc>
      </w:tr>
      <w:tr>
        <w:trPr>
          <w:cantSplit/>
        </w:trPr>
        <w:tc>
          <w:tcPr>
            <w:tcW w:type="dxa" w:w="850"/>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7"/>
              </w:rPr>
              <w:t>OP09</w:t>
            </w:r>
          </w:p>
        </w:tc>
        <w:tc>
          <w:tcPr>
            <w:tcW w:type="dxa" w:w="4706"/>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Hébergement renforcé (ressources dédiées)</w:t>
            </w:r>
          </w:p>
        </w:tc>
        <w:tc>
          <w:tcPr>
            <w:tcW w:type="dxa" w:w="1928"/>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7"/>
              </w:rPr>
              <w:t>360 000 FCFA</w:t>
            </w:r>
          </w:p>
        </w:tc>
        <w:tc>
          <w:tcPr>
            <w:tcW w:type="dxa" w:w="2154"/>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par an</w:t>
            </w:r>
          </w:p>
        </w:tc>
      </w:tr>
    </w:tbl>
    <w:p>
      <w:pPr>
        <w:spacing w:after="80"/>
      </w:pPr>
    </w:p>
    <w:p>
      <w:r>
        <w:t>Les options sont facturées en sus de la prestation principale, sur la base d’un devis. Les prix sont indicatifs et provisoires.</w:t>
      </w:r>
    </w:p>
    <w:p>
      <w:pPr>
        <w:pStyle w:val="Heading1"/>
        <w:pBdr>
          <w:bottom w:val="single" w:sz="6" w:space="4" w:color="00A676"/>
        </w:pBdr>
      </w:pPr>
      <w:r>
        <w:t>5. Conditions spécifiques et éléments à valider</w:t>
      </w:r>
    </w:p>
    <w:p>
      <w:pPr>
        <w:pStyle w:val="Heading2"/>
      </w:pPr>
      <w:r>
        <w:t>Conditions générales applicables</w:t>
      </w:r>
    </w:p>
    <w:p>
      <w:pPr>
        <w:pStyle w:val="ListBullet"/>
      </w:pPr>
      <w:r>
        <w:t>Tous les prix sont exprimés en francs CFA (FCFA), hors taxes. Le régime et le taux de TVA applicables sont à confirmer avec l’administration fiscale ou un expert-comptable.</w:t>
      </w:r>
    </w:p>
    <w:p>
      <w:pPr>
        <w:pStyle w:val="ListBullet"/>
      </w:pPr>
      <w:r>
        <w:t xml:space="preserve">Les prix présentés sont des </w:t>
      </w:r>
      <w:r>
        <w:rPr>
          <w:b/>
        </w:rPr>
        <w:t>tarifs indicatifs</w:t>
      </w:r>
      <w:r>
        <w:t xml:space="preserve"> (propositions de travail provisoires). Le prix définitif est celui du devis signé par les deux parties.</w:t>
      </w:r>
    </w:p>
    <w:p>
      <w:pPr>
        <w:pStyle w:val="ListBullet"/>
      </w:pPr>
      <w:r>
        <w:t xml:space="preserve">Un devis détaillé, valable </w:t>
      </w:r>
      <w:r>
        <w:rPr>
          <w:color w:val="8A5A00"/>
          <w:shd w:val="clear" w:color="auto" w:fill="FFF4D6"/>
        </w:rPr>
        <w:t>[à compléter : 30]</w:t>
      </w:r>
      <w:r>
        <w:t xml:space="preserve"> jours, précise le périmètre, les livrables, le calendrier et les modalités de paiement.</w:t>
      </w:r>
    </w:p>
    <w:p>
      <w:pPr>
        <w:pStyle w:val="ListBullet"/>
      </w:pPr>
      <w:r>
        <w:t>Les modalités de paiement sont adaptées à chaque contrat. Un acompte de 75 % et un solde de 25 % peuvent être proposés pour un projet court, uniquement avec l’accord écrit des deux parties ; ce schéma n’est pas systématique.</w:t>
      </w:r>
    </w:p>
    <w:p>
      <w:pPr>
        <w:pStyle w:val="Heading2"/>
      </w:pPr>
      <w:r>
        <w:t>Éléments à valider avant engagement</w:t>
      </w:r>
    </w:p>
    <w:p>
      <w:pPr>
        <w:pStyle w:val="ListBullet"/>
      </w:pPr>
      <w:r>
        <w:t>Niveaux de service (délais de réponse, horaires de couverture) : à confirmer au contrat.</w:t>
      </w:r>
    </w:p>
    <w:p>
      <w:pPr>
        <w:pStyle w:val="ListBullet"/>
      </w:pPr>
      <w:r>
        <w:t>Durée d’engagement initiale de 12 mois et conditions de révision des prix : à fixer au contrat.</w:t>
      </w:r>
    </w:p>
    <w:p>
      <w:pPr>
        <w:pStyle w:val="ListBullet"/>
      </w:pPr>
      <w:r>
        <w:t>Sauvegardes externalisées et plan de reprise : à définir selon la criticité.</w:t>
      </w:r>
    </w:p>
    <w:tbl>
      <w:tblPr>
        <w:jc w:val="center"/>
        <w:tblLayout w:type="fixed"/>
        <w:tblLook w:firstColumn="1" w:firstRow="1" w:lastColumn="0" w:lastRow="0" w:noHBand="0" w:noVBand="1" w:val="04A0"/>
        <w:tblLayout w:type="fixed"/>
        <w:tblW w:w="9639" w:type="dxa"/>
      </w:tblPr>
      <w:tblGrid>
        <w:gridCol w:w="2608"/>
        <w:gridCol w:w="7031"/>
      </w:tblGrid>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Validité de la grille</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 : date de validation et durée]</w:t>
            </w:r>
          </w:p>
        </w:tc>
      </w:tr>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Contact commercial</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w:t>
            </w:r>
          </w:p>
        </w:tc>
      </w:tr>
    </w:tbl>
    <w:p>
      <w:pPr>
        <w:spacing w:after="80"/>
      </w:pPr>
    </w:p>
    <w:sectPr w:rsidR="00FC693F" w:rsidRPr="0006063C" w:rsidSect="00034616">
      <w:headerReference w:type="default" r:id="rId9"/>
      <w:footerReference w:type="default" r:id="rId10"/>
      <w:pgSz w:w="11906" w:h="16838"/>
      <w:pgMar w:top="1417" w:right="1134" w:bottom="1191"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Bdr>
        <w:top w:val="single" w:sz="4" w:space="6" w:color="D5DBE2"/>
      </w:pBdr>
    </w:pPr>
    <w:r>
      <w:rPr>
        <w:color w:val="626262"/>
        <w:sz w:val="15"/>
      </w:rPr>
      <w:t xml:space="preserve">TechnologyTrade Group  ·  TTG-GT-02-C07  ·  v1.0 — Projet  ·  </w:t>
    </w:r>
    <w:r>
      <w:rPr>
        <w:b/>
        <w:color w:val="0B5A45"/>
        <w:sz w:val="15"/>
      </w:rPr>
      <w:t>Diffusion contrôlée</w:t>
    </w:r>
    <w:r>
      <w:rPr>
        <w:color w:val="626262"/>
        <w:sz w:val="15"/>
      </w:rPr>
      <w:tab/>
      <w:t xml:space="preserve">Page </w:t>
    </w:r>
    <w:r>
      <w:fldChar w:fldCharType="begin"/>
    </w:r>
    <w:r>
      <w:instrText xml:space="preserve"> PAGE </w:instrText>
    </w:r>
    <w:r>
      <w:fldChar w:fldCharType="separate"/>
    </w:r>
    <w:r>
      <w:t>1</w:t>
    </w:r>
    <w:r>
      <w:fldChar w:fldCharType="end"/>
    </w:r>
    <w:r>
      <w:rPr>
        <w:color w:val="626262"/>
        <w:sz w:val="15"/>
      </w:rPr>
      <w:t xml:space="preserve"> sur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638" w:val="right"/>
      </w:tabs>
      <w:spacing w:after="0"/>
      <w:pBdr>
        <w:bottom w:val="single" w:sz="6" w:space="6" w:color="00A676"/>
      </w:pBdr>
    </w:pPr>
    <w:r>
      <w:drawing>
        <wp:inline xmlns:a="http://schemas.openxmlformats.org/drawingml/2006/main" xmlns:pic="http://schemas.openxmlformats.org/drawingml/2006/picture">
          <wp:extent cx="1207989" cy="378000"/>
          <wp:docPr id="1" name="Picture 1"/>
          <wp:cNvGraphicFramePr>
            <a:graphicFrameLocks noChangeAspect="1"/>
          </wp:cNvGraphicFramePr>
          <a:graphic>
            <a:graphicData uri="http://schemas.openxmlformats.org/drawingml/2006/picture">
              <pic:pic>
                <pic:nvPicPr>
                  <pic:cNvPr id="0" name="Logo_horizontal_couleur.png"/>
                  <pic:cNvPicPr/>
                </pic:nvPicPr>
                <pic:blipFill>
                  <a:blip r:embed="rId1"/>
                  <a:stretch>
                    <a:fillRect/>
                  </a:stretch>
                </pic:blipFill>
                <pic:spPr>
                  <a:xfrm>
                    <a:off x="0" y="0"/>
                    <a:ext cx="1207989" cy="378000"/>
                  </a:xfrm>
                  <a:prstGeom prst="rect"/>
                </pic:spPr>
              </pic:pic>
            </a:graphicData>
          </a:graphic>
        </wp:inline>
      </w:drawing>
    </w:r>
    <w:r>
      <w:rPr>
        <w:color w:val="626262"/>
        <w:sz w:val="15"/>
      </w:rPr>
      <w:tab/>
      <w:t>Grille tarifaire · catégorie 7 · Maintenance, assistance et contrats récurrents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83" w:lineRule="auto"/>
    </w:pPr>
    <w:rPr>
      <w:rFonts w:ascii="Montserrat" w:hAnsi="Montserrat" w:cs="Montserrat" w:eastAsia="Montserrat"/>
      <w:color w:val="1E1E1E"/>
      <w:sz w:val="19"/>
      <w:lang w:val="fr-FR" w:eastAsia="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line="264" w:lineRule="auto"/>
      <w:outlineLvl w:val="0"/>
    </w:pPr>
    <w:rPr>
      <w:rFonts w:ascii="Montserrat" w:hAnsi="Montserrat" w:cs="Montserrat" w:eastAsia="Montserrat"/>
      <w:b/>
      <w:bCs/>
      <w:i w:val="0"/>
      <w:color w:val="063D2E"/>
      <w:sz w:val="34"/>
      <w:szCs w:val="28"/>
    </w:rPr>
  </w:style>
  <w:style w:type="paragraph" w:styleId="Heading2">
    <w:name w:val="heading 2"/>
    <w:basedOn w:val="Normal"/>
    <w:next w:val="Normal"/>
    <w:link w:val="Heading2Char"/>
    <w:uiPriority w:val="9"/>
    <w:unhideWhenUsed/>
    <w:qFormat/>
    <w:rsid w:val="00FC693F"/>
    <w:pPr>
      <w:keepNext/>
      <w:keepLines/>
      <w:spacing w:before="280" w:after="100" w:line="264" w:lineRule="auto"/>
      <w:outlineLvl w:val="1"/>
    </w:pPr>
    <w:rPr>
      <w:rFonts w:ascii="Montserrat" w:hAnsi="Montserrat" w:cs="Montserrat" w:eastAsia="Montserrat"/>
      <w:b/>
      <w:bCs/>
      <w:i w:val="0"/>
      <w:color w:val="0B5A45"/>
      <w:sz w:val="25"/>
      <w:szCs w:val="26"/>
    </w:rPr>
  </w:style>
  <w:style w:type="paragraph" w:styleId="Heading3">
    <w:name w:val="heading 3"/>
    <w:basedOn w:val="Normal"/>
    <w:next w:val="Normal"/>
    <w:link w:val="Heading3Char"/>
    <w:uiPriority w:val="9"/>
    <w:unhideWhenUsed/>
    <w:qFormat/>
    <w:rsid w:val="00FC693F"/>
    <w:pPr>
      <w:keepNext/>
      <w:keepLines/>
      <w:spacing w:before="200" w:after="60" w:line="264" w:lineRule="auto"/>
      <w:outlineLvl w:val="2"/>
    </w:pPr>
    <w:rPr>
      <w:rFonts w:ascii="Montserrat" w:hAnsi="Montserrat" w:cs="Montserrat" w:eastAsia="Montserrat"/>
      <w:b/>
      <w:bCs/>
      <w:i w:val="0"/>
      <w:color w:val="0B5A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76" w:lineRule="auto"/>
      <w:contextualSpacing/>
    </w:pPr>
    <w:rPr>
      <w:rFonts w:ascii="Montserrat" w:hAnsi="Montserrat"/>
      <w:sz w:val="19"/>
    </w:rPr>
  </w:style>
  <w:style w:type="paragraph" w:styleId="ListBullet2">
    <w:name w:val="List Bullet 2"/>
    <w:basedOn w:val="Normal"/>
    <w:uiPriority w:val="99"/>
    <w:unhideWhenUsed/>
    <w:rsid w:val="00326F90"/>
    <w:pPr>
      <w:numPr>
        <w:numId w:val="2"/>
      </w:numPr>
      <w:spacing w:after="50" w:line="276" w:lineRule="auto"/>
      <w:contextualSpacing/>
    </w:pPr>
    <w:rPr>
      <w:rFonts w:ascii="Montserrat" w:hAnsi="Montserrat"/>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after="80" w:before="120"/>
      <w:ind w:left="0"/>
    </w:pPr>
    <w:rPr>
      <w:b/>
      <w:color w:val="063D2E"/>
      <w:sz w:val="20"/>
    </w:rPr>
  </w:style>
  <w:style w:type="paragraph" w:customStyle="1" w:styleId="TOC2">
    <w:name w:val="TOC 2"/>
    <w:basedOn w:val="Normal"/>
    <w:pPr>
      <w:spacing w:after="60" w:before="0"/>
      <w:ind w:left="340"/>
    </w:pPr>
    <w:rPr>
      <w:b w:val="0"/>
      <w:color w:val="1E1E1E"/>
      <w:sz w:val="18"/>
    </w:rPr>
  </w:style>
  <w:style w:type="paragraph" w:customStyle="1" w:styleId="TTGCell">
    <w:name w:val="TTG Cell"/>
    <w:basedOn w:val="Normal"/>
    <w:pPr>
      <w:spacing w:after="30" w:before="0" w:line="264" w:lineRule="auto"/>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Grille tarifaire — Maintenance, assistance et contrats récurrents</dc:title>
  <dc:subject>Catégorie 7 sur 8 · tarifs indicatifs en FCFA, hors taxes</dc:subject>
  <dc:creator>TechnologyTrade Group</dc:creator>
  <cp:keywords>TTG-GT-02-C07</cp:keywords>
  <dc:description>Document modifiable — champs à compléter surlignés</dc:description>
  <cp:lastModifiedBy/>
  <cp:revision>1</cp:revision>
  <dcterms:created xsi:type="dcterms:W3CDTF">2013-12-23T23:15:00Z</dcterms:created>
  <dcterms:modified xsi:type="dcterms:W3CDTF">2013-12-23T23:15:00Z</dcterms:modified>
  <cp:category/>
  <dc:language>fr-FR</dc:language>
</cp:coreProperties>
</file>