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8</w:t>
            </w:r>
          </w:p>
          <w:p>
            <w:pPr>
              <w:spacing w:after="200" w:line="252" w:lineRule="auto"/>
            </w:pPr>
            <w:r>
              <w:rPr>
                <w:b/>
                <w:color w:val="FFFFFF"/>
                <w:sz w:val="56"/>
              </w:rPr>
              <w:t>Grille tarifaire — Conseil et accompagnement en transformation numérique</w:t>
            </w:r>
          </w:p>
          <w:p>
            <w:pPr>
              <w:spacing w:after="0" w:line="288" w:lineRule="auto"/>
            </w:pPr>
            <w:r>
              <w:rPr>
                <w:color w:val="D9EFE7"/>
                <w:sz w:val="24"/>
              </w:rPr>
              <w:t>Catégorie 8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TTG-GT-02-C08</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Conseil et accompagnement en transformation numérique », leurs contenus, livrables, tarifs indicatifs, délais et conditions.</w:t>
      </w:r>
    </w:p>
    <w:p>
      <w:r>
        <w:rPr>
          <w:b/>
        </w:rPr>
        <w:t>Public concerné.</w:t>
      </w:r>
      <w:r>
        <w:t xml:space="preserve"> Dirigeants et responsables qui veulent cadrer, planifier et sécuriser leurs choix numériques.</w:t>
      </w:r>
    </w:p>
    <w:p>
      <w:pPr>
        <w:pStyle w:val="Heading2"/>
      </w:pPr>
      <w:r>
        <w:t>Comment choisir</w:t>
      </w:r>
    </w:p>
    <w:p>
      <w:pPr>
        <w:pStyle w:val="ListBullet"/>
      </w:pPr>
      <w:r>
        <w:t xml:space="preserve">Savoir où l’on en est : </w:t>
      </w:r>
      <w:r>
        <w:rPr>
          <w:b/>
        </w:rPr>
        <w:t>CT01</w:t>
      </w:r>
      <w:r>
        <w:t xml:space="preserve"> (diagnostic de maturité).</w:t>
      </w:r>
    </w:p>
    <w:p>
      <w:pPr>
        <w:pStyle w:val="ListBullet"/>
      </w:pPr>
      <w:r>
        <w:t xml:space="preserve">Décider d’une trajectoire : </w:t>
      </w:r>
      <w:r>
        <w:rPr>
          <w:b/>
        </w:rPr>
        <w:t>CT02</w:t>
      </w:r>
      <w:r>
        <w:t xml:space="preserve"> (schéma directeur et feuille de route).</w:t>
      </w:r>
    </w:p>
    <w:p>
      <w:pPr>
        <w:pStyle w:val="ListBullet"/>
      </w:pPr>
      <w:r>
        <w:t xml:space="preserve">Préparer un projet à confier à un prestataire : </w:t>
      </w:r>
      <w:r>
        <w:rPr>
          <w:b/>
        </w:rPr>
        <w:t>CT03</w:t>
      </w:r>
      <w:r>
        <w:t xml:space="preserve"> (cadrage et cahier des charges).</w:t>
      </w:r>
    </w:p>
    <w:p>
      <w:pPr>
        <w:pStyle w:val="ListBullet"/>
      </w:pPr>
      <w:r>
        <w:t xml:space="preserve">Être appuyé dans le suivi des prestataires : </w:t>
      </w:r>
      <w:r>
        <w:rPr>
          <w:b/>
        </w:rPr>
        <w:t>CT04</w:t>
      </w:r>
      <w:r>
        <w:t xml:space="preserve"> (assistance à maîtrise d’ouvrage).</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CT01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Diagnostic de maturité numérique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775 000 – 1 550 000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 à 4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CT02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Schéma directeur et feuille de route numérique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1 900 000 – 3 750 000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 à 8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30 % + jalons</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CT03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Cadrage de projet et cahier des charges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800 000 – 1 600 000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2 à 4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CT04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Assistance à maîtrise d’ouvrage (mensuel)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725 000 – 1 450 000 FCFA / mois</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Engagement de 3 mois minimum</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Mensuel à terme échu</w:t>
            </w:r>
          </w:p>
        </w:tc>
      </w:tr>
    </w:tbl>
    <w:p>
      <w:pPr>
        <w:spacing w:after="80"/>
      </w:pPr>
    </w:p>
    <w:p>
      <w:pPr>
        <w:spacing w:after="0"/>
      </w:pPr>
      <w:r>
        <w:br w:type="page"/>
      </w:r>
    </w:p>
    <w:p>
      <w:pPr>
        <w:pStyle w:val="Heading1"/>
        <w:pBdr>
          <w:bottom w:val="single" w:sz="6" w:space="4" w:color="00A676"/>
        </w:pBdr>
      </w:pPr>
      <w:r>
        <w:t>3. Fiches détaillées des offres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CT01   </w:t>
            </w:r>
            <w:r>
              <w:rPr>
                <w:b/>
                <w:color w:val="FFFFFF"/>
                <w:sz w:val="20"/>
              </w:rPr>
              <w:t>Diagnostic de maturité numérique</w:t>
            </w:r>
            <w:r>
              <w:rPr>
                <w:b/>
                <w:color w:val="FFFFFF"/>
                <w:sz w:val="19"/>
              </w:rPr>
              <w:tab/>
              <w:t>775 000 – 1 550 000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Évaluation de l’état numérique de l’organisation : outils, usages, compétences, sécurité, données et processus.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Questionnaire et entretiens (jusqu’à 8)</w:t>
            </w:r>
          </w:p>
          <w:p>
            <w:pPr>
              <w:pStyle w:val="TTGCell"/>
              <w:keepNext/>
              <w:keepLines/>
              <w:ind w:left="170" w:hanging="170"/>
            </w:pPr>
            <w:r>
              <w:rPr>
                <w:b/>
                <w:color w:val="00A676"/>
                <w:sz w:val="16"/>
              </w:rPr>
              <w:t xml:space="preserve">• </w:t>
            </w:r>
            <w:r>
              <w:rPr>
                <w:sz w:val="16"/>
              </w:rPr>
              <w:t>Analyse des outils et des usages</w:t>
            </w:r>
          </w:p>
          <w:p>
            <w:pPr>
              <w:pStyle w:val="TTGCell"/>
              <w:keepNext/>
              <w:keepLines/>
              <w:ind w:left="170" w:hanging="170"/>
            </w:pPr>
            <w:r>
              <w:rPr>
                <w:b/>
                <w:color w:val="00A676"/>
                <w:sz w:val="16"/>
              </w:rPr>
              <w:t xml:space="preserve">• </w:t>
            </w:r>
            <w:r>
              <w:rPr>
                <w:sz w:val="16"/>
              </w:rPr>
              <w:t>Note de maturité par domaine</w:t>
            </w:r>
          </w:p>
          <w:p>
            <w:pPr>
              <w:pStyle w:val="TTGCell"/>
              <w:keepNext/>
              <w:keepLines/>
              <w:ind w:left="170" w:hanging="170"/>
            </w:pPr>
            <w:r>
              <w:rPr>
                <w:b/>
                <w:color w:val="00A676"/>
                <w:sz w:val="16"/>
              </w:rPr>
              <w:t xml:space="preserve">• </w:t>
            </w:r>
            <w:r>
              <w:rPr>
                <w:sz w:val="16"/>
              </w:rPr>
              <w:t>Recommandations priorisées</w:t>
            </w:r>
          </w:p>
          <w:p>
            <w:pPr>
              <w:pStyle w:val="TTGCell"/>
              <w:keepNext/>
              <w:keepLines/>
              <w:ind w:left="170" w:hanging="170"/>
            </w:pPr>
            <w:r>
              <w:rPr>
                <w:b/>
                <w:color w:val="00A676"/>
                <w:sz w:val="16"/>
              </w:rPr>
              <w:t xml:space="preserve">• </w:t>
            </w:r>
            <w:r>
              <w:rPr>
                <w:sz w:val="16"/>
              </w:rPr>
              <w:t>Restitution à la direction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de diagnostic</w:t>
            </w:r>
          </w:p>
          <w:p>
            <w:pPr>
              <w:pStyle w:val="TTGCell"/>
              <w:keepNext/>
              <w:keepLines/>
              <w:ind w:left="170" w:hanging="170"/>
            </w:pPr>
            <w:r>
              <w:rPr>
                <w:b/>
                <w:color w:val="00A676"/>
                <w:sz w:val="16"/>
              </w:rPr>
              <w:t xml:space="preserve">• </w:t>
            </w:r>
            <w:r>
              <w:rPr>
                <w:sz w:val="16"/>
              </w:rPr>
              <w:t>Synthèse de direction</w:t>
            </w:r>
          </w:p>
          <w:p>
            <w:pPr>
              <w:pStyle w:val="TTGCell"/>
              <w:keepNext/>
              <w:keepLines/>
              <w:ind w:left="170" w:hanging="170"/>
            </w:pPr>
            <w:r>
              <w:rPr>
                <w:b/>
                <w:color w:val="00A676"/>
                <w:sz w:val="16"/>
              </w:rPr>
              <w:t xml:space="preserve">• </w:t>
            </w:r>
            <w:r>
              <w:rPr>
                <w:sz w:val="16"/>
              </w:rPr>
              <w:t>Liste de recommandations priorisées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recommandations</w:t>
            </w:r>
          </w:p>
          <w:p>
            <w:pPr>
              <w:pStyle w:val="TTGCell"/>
              <w:keepNext w:val="0"/>
              <w:keepLines/>
              <w:ind w:left="170" w:hanging="170"/>
            </w:pPr>
            <w:r>
              <w:rPr>
                <w:b/>
                <w:color w:val="00A676"/>
                <w:sz w:val="16"/>
              </w:rPr>
              <w:t xml:space="preserve">• </w:t>
            </w:r>
            <w:r>
              <w:rPr>
                <w:sz w:val="16"/>
              </w:rPr>
              <w:t>Audit de sécurité technique approfondi</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de l’organisation</w:t>
            </w:r>
          </w:p>
          <w:p>
            <w:pPr>
              <w:pStyle w:val="TTGCell"/>
              <w:keepNext w:val="0"/>
              <w:keepLines/>
              <w:ind w:left="170" w:hanging="170"/>
            </w:pPr>
            <w:r>
              <w:rPr>
                <w:b/>
                <w:color w:val="00A676"/>
                <w:sz w:val="16"/>
              </w:rPr>
              <w:t xml:space="preserve">• </w:t>
            </w:r>
            <w:r>
              <w:rPr>
                <w:sz w:val="16"/>
              </w:rPr>
              <w:t>Nombre de sites</w:t>
            </w:r>
          </w:p>
          <w:p>
            <w:pPr>
              <w:pStyle w:val="TTGCell"/>
              <w:keepNext w:val="0"/>
              <w:keepLines/>
              <w:ind w:left="170" w:hanging="170"/>
            </w:pPr>
            <w:r>
              <w:rPr>
                <w:b/>
                <w:color w:val="00A676"/>
                <w:sz w:val="16"/>
              </w:rPr>
              <w:t xml:space="preserve">• </w:t>
            </w:r>
            <w:r>
              <w:rPr>
                <w:sz w:val="16"/>
              </w:rPr>
              <w:t>Nombre d’entretiens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CT02   </w:t>
            </w:r>
            <w:r>
              <w:rPr>
                <w:b/>
                <w:color w:val="FFFFFF"/>
                <w:sz w:val="20"/>
              </w:rPr>
              <w:t>Schéma directeur et feuille de route numérique</w:t>
            </w:r>
            <w:r>
              <w:rPr>
                <w:b/>
                <w:color w:val="FFFFFF"/>
                <w:sz w:val="19"/>
              </w:rPr>
              <w:tab/>
              <w:t>1 900 000 – 3 750 000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Stratégie numérique sur 3 ans : priorités, projets, budget indicatif et gouvernance.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Diagnostic synthétique</w:t>
            </w:r>
          </w:p>
          <w:p>
            <w:pPr>
              <w:pStyle w:val="TTGCell"/>
              <w:keepNext/>
              <w:keepLines/>
              <w:ind w:left="170" w:hanging="170"/>
            </w:pPr>
            <w:r>
              <w:rPr>
                <w:b/>
                <w:color w:val="00A676"/>
                <w:sz w:val="16"/>
              </w:rPr>
              <w:t xml:space="preserve">• </w:t>
            </w:r>
            <w:r>
              <w:rPr>
                <w:sz w:val="16"/>
              </w:rPr>
              <w:t>Vision et objectifs numériques</w:t>
            </w:r>
          </w:p>
          <w:p>
            <w:pPr>
              <w:pStyle w:val="TTGCell"/>
              <w:keepNext/>
              <w:keepLines/>
              <w:ind w:left="170" w:hanging="170"/>
            </w:pPr>
            <w:r>
              <w:rPr>
                <w:b/>
                <w:color w:val="00A676"/>
                <w:sz w:val="16"/>
              </w:rPr>
              <w:t xml:space="preserve">• </w:t>
            </w:r>
            <w:r>
              <w:rPr>
                <w:sz w:val="16"/>
              </w:rPr>
              <w:t>Portefeuille de projets priorisés</w:t>
            </w:r>
          </w:p>
          <w:p>
            <w:pPr>
              <w:pStyle w:val="TTGCell"/>
              <w:keepNext/>
              <w:keepLines/>
              <w:ind w:left="170" w:hanging="170"/>
            </w:pPr>
            <w:r>
              <w:rPr>
                <w:b/>
                <w:color w:val="00A676"/>
                <w:sz w:val="16"/>
              </w:rPr>
              <w:t xml:space="preserve">• </w:t>
            </w:r>
            <w:r>
              <w:rPr>
                <w:sz w:val="16"/>
              </w:rPr>
              <w:t>Budget indicatif et calendrier</w:t>
            </w:r>
          </w:p>
          <w:p>
            <w:pPr>
              <w:pStyle w:val="TTGCell"/>
              <w:keepNext/>
              <w:keepLines/>
              <w:ind w:left="170" w:hanging="170"/>
            </w:pPr>
            <w:r>
              <w:rPr>
                <w:b/>
                <w:color w:val="00A676"/>
                <w:sz w:val="16"/>
              </w:rPr>
              <w:t xml:space="preserve">• </w:t>
            </w:r>
            <w:r>
              <w:rPr>
                <w:sz w:val="16"/>
              </w:rPr>
              <w:t>Gouvernance et indicateurs</w:t>
            </w:r>
          </w:p>
          <w:p>
            <w:pPr>
              <w:pStyle w:val="TTGCell"/>
              <w:keepNext/>
              <w:keepLines/>
              <w:ind w:left="170" w:hanging="170"/>
            </w:pPr>
            <w:r>
              <w:rPr>
                <w:b/>
                <w:color w:val="00A676"/>
                <w:sz w:val="16"/>
              </w:rPr>
              <w:t xml:space="preserve">• </w:t>
            </w:r>
            <w:r>
              <w:rPr>
                <w:sz w:val="16"/>
              </w:rPr>
              <w:t>Présentation à la direction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Schéma directeur</w:t>
            </w:r>
          </w:p>
          <w:p>
            <w:pPr>
              <w:pStyle w:val="TTGCell"/>
              <w:keepNext/>
              <w:keepLines/>
              <w:ind w:left="170" w:hanging="170"/>
            </w:pPr>
            <w:r>
              <w:rPr>
                <w:b/>
                <w:color w:val="00A676"/>
                <w:sz w:val="16"/>
              </w:rPr>
              <w:t xml:space="preserve">• </w:t>
            </w:r>
            <w:r>
              <w:rPr>
                <w:sz w:val="16"/>
              </w:rPr>
              <w:t>Feuille de route</w:t>
            </w:r>
          </w:p>
          <w:p>
            <w:pPr>
              <w:pStyle w:val="TTGCell"/>
              <w:keepNext/>
              <w:keepLines/>
              <w:ind w:left="170" w:hanging="170"/>
            </w:pPr>
            <w:r>
              <w:rPr>
                <w:b/>
                <w:color w:val="00A676"/>
                <w:sz w:val="16"/>
              </w:rPr>
              <w:t xml:space="preserve">• </w:t>
            </w:r>
            <w:r>
              <w:rPr>
                <w:sz w:val="16"/>
              </w:rPr>
              <w:t>Présentation de synthèse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30 % à la commande, solde par jalons de livraison définis dans la proposition.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Pilotage de la mise en œuvre</w:t>
            </w:r>
          </w:p>
          <w:p>
            <w:pPr>
              <w:pStyle w:val="TTGCell"/>
              <w:keepNext w:val="0"/>
              <w:keepLines/>
              <w:ind w:left="170" w:hanging="170"/>
            </w:pPr>
            <w:r>
              <w:rPr>
                <w:b/>
                <w:color w:val="00A676"/>
                <w:sz w:val="16"/>
              </w:rPr>
              <w:t xml:space="preserve">• </w:t>
            </w:r>
            <w:r>
              <w:rPr>
                <w:sz w:val="16"/>
              </w:rPr>
              <w:t>Recherche de financements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et complexité de l’organisation</w:t>
            </w:r>
          </w:p>
          <w:p>
            <w:pPr>
              <w:pStyle w:val="TTGCell"/>
              <w:keepNext w:val="0"/>
              <w:keepLines/>
              <w:ind w:left="170" w:hanging="170"/>
            </w:pPr>
            <w:r>
              <w:rPr>
                <w:b/>
                <w:color w:val="00A676"/>
                <w:sz w:val="16"/>
              </w:rPr>
              <w:t xml:space="preserve">• </w:t>
            </w:r>
            <w:r>
              <w:rPr>
                <w:sz w:val="16"/>
              </w:rPr>
              <w:t>Nombre d’ateliers</w:t>
            </w:r>
          </w:p>
          <w:p>
            <w:pPr>
              <w:pStyle w:val="TTGCell"/>
              <w:keepNext w:val="0"/>
              <w:keepLines/>
              <w:ind w:left="170" w:hanging="170"/>
            </w:pPr>
            <w:r>
              <w:rPr>
                <w:b/>
                <w:color w:val="00A676"/>
                <w:sz w:val="16"/>
              </w:rPr>
              <w:t xml:space="preserve">• </w:t>
            </w:r>
            <w:r>
              <w:rPr>
                <w:sz w:val="16"/>
              </w:rPr>
              <w:t>Niveau de détail du budget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CT03   </w:t>
            </w:r>
            <w:r>
              <w:rPr>
                <w:b/>
                <w:color w:val="FFFFFF"/>
                <w:sz w:val="20"/>
              </w:rPr>
              <w:t>Cadrage de projet et cahier des charges</w:t>
            </w:r>
            <w:r>
              <w:rPr>
                <w:b/>
                <w:color w:val="FFFFFF"/>
                <w:sz w:val="19"/>
              </w:rPr>
              <w:tab/>
              <w:t>800 000 – 1 600 000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Formalisation d’un besoin numérique en cahier des charges exploitable pour consulter des prestataires.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Ateliers de recueil du besoin</w:t>
            </w:r>
          </w:p>
          <w:p>
            <w:pPr>
              <w:pStyle w:val="TTGCell"/>
              <w:keepNext/>
              <w:keepLines/>
              <w:ind w:left="170" w:hanging="170"/>
            </w:pPr>
            <w:r>
              <w:rPr>
                <w:b/>
                <w:color w:val="00A676"/>
                <w:sz w:val="16"/>
              </w:rPr>
              <w:t xml:space="preserve">• </w:t>
            </w:r>
            <w:r>
              <w:rPr>
                <w:sz w:val="16"/>
              </w:rPr>
              <w:t>Spécifications fonctionnelles</w:t>
            </w:r>
          </w:p>
          <w:p>
            <w:pPr>
              <w:pStyle w:val="TTGCell"/>
              <w:keepNext/>
              <w:keepLines/>
              <w:ind w:left="170" w:hanging="170"/>
            </w:pPr>
            <w:r>
              <w:rPr>
                <w:b/>
                <w:color w:val="00A676"/>
                <w:sz w:val="16"/>
              </w:rPr>
              <w:t xml:space="preserve">• </w:t>
            </w:r>
            <w:r>
              <w:rPr>
                <w:sz w:val="16"/>
              </w:rPr>
              <w:t>Exigences techniques et critères de sélection</w:t>
            </w:r>
          </w:p>
          <w:p>
            <w:pPr>
              <w:pStyle w:val="TTGCell"/>
              <w:keepNext/>
              <w:keepLines/>
              <w:ind w:left="170" w:hanging="170"/>
            </w:pPr>
            <w:r>
              <w:rPr>
                <w:b/>
                <w:color w:val="00A676"/>
                <w:sz w:val="16"/>
              </w:rPr>
              <w:t xml:space="preserve">• </w:t>
            </w:r>
            <w:r>
              <w:rPr>
                <w:sz w:val="16"/>
              </w:rPr>
              <w:t>Estimation budgétaire et planning</w:t>
            </w:r>
          </w:p>
          <w:p>
            <w:pPr>
              <w:pStyle w:val="TTGCell"/>
              <w:keepNext/>
              <w:keepLines/>
              <w:ind w:left="170" w:hanging="170"/>
            </w:pPr>
            <w:r>
              <w:rPr>
                <w:b/>
                <w:color w:val="00A676"/>
                <w:sz w:val="16"/>
              </w:rPr>
              <w:t xml:space="preserve">• </w:t>
            </w:r>
            <w:r>
              <w:rPr>
                <w:sz w:val="16"/>
              </w:rPr>
              <w:t>Modèle de grille d’analyse des offres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Cahier des charges</w:t>
            </w:r>
          </w:p>
          <w:p>
            <w:pPr>
              <w:pStyle w:val="TTGCell"/>
              <w:keepNext/>
              <w:keepLines/>
              <w:ind w:left="170" w:hanging="170"/>
            </w:pPr>
            <w:r>
              <w:rPr>
                <w:b/>
                <w:color w:val="00A676"/>
                <w:sz w:val="16"/>
              </w:rPr>
              <w:t xml:space="preserve">• </w:t>
            </w:r>
            <w:r>
              <w:rPr>
                <w:sz w:val="16"/>
              </w:rPr>
              <w:t>Grille d’analyse des offres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Sélection du prestataire</w:t>
            </w:r>
          </w:p>
          <w:p>
            <w:pPr>
              <w:pStyle w:val="TTGCell"/>
              <w:keepNext w:val="0"/>
              <w:keepLines/>
              <w:ind w:left="170" w:hanging="170"/>
            </w:pPr>
            <w:r>
              <w:rPr>
                <w:b/>
                <w:color w:val="00A676"/>
                <w:sz w:val="16"/>
              </w:rPr>
              <w:t xml:space="preserve">• </w:t>
            </w:r>
            <w:r>
              <w:rPr>
                <w:sz w:val="16"/>
              </w:rPr>
              <w:t>Pilotage du projet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Complexité du projet</w:t>
            </w:r>
          </w:p>
          <w:p>
            <w:pPr>
              <w:pStyle w:val="TTGCell"/>
              <w:keepNext w:val="0"/>
              <w:keepLines/>
              <w:ind w:left="170" w:hanging="170"/>
            </w:pPr>
            <w:r>
              <w:rPr>
                <w:b/>
                <w:color w:val="00A676"/>
                <w:sz w:val="16"/>
              </w:rPr>
              <w:t xml:space="preserve">• </w:t>
            </w:r>
            <w:r>
              <w:rPr>
                <w:sz w:val="16"/>
              </w:rPr>
              <w:t>Nombre de parties prenantes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CT04   </w:t>
            </w:r>
            <w:r>
              <w:rPr>
                <w:b/>
                <w:color w:val="FFFFFF"/>
                <w:sz w:val="20"/>
              </w:rPr>
              <w:t>Assistance à maîtrise d’ouvrage (mensuel)</w:t>
            </w:r>
            <w:r>
              <w:rPr>
                <w:b/>
                <w:color w:val="FFFFFF"/>
                <w:sz w:val="19"/>
              </w:rPr>
              <w:tab/>
              <w:t>725 000 – 1 450 000 FCFA / mois</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Appui régulier d’un responsable de projet numérique côté client : suivi des prestataires, recettes, arbitrages.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Jusqu’à 6 jours de présence ou de travail par mois</w:t>
            </w:r>
          </w:p>
          <w:p>
            <w:pPr>
              <w:pStyle w:val="TTGCell"/>
              <w:keepNext/>
              <w:keepLines/>
              <w:ind w:left="170" w:hanging="170"/>
            </w:pPr>
            <w:r>
              <w:rPr>
                <w:b/>
                <w:color w:val="00A676"/>
                <w:sz w:val="16"/>
              </w:rPr>
              <w:t xml:space="preserve">• </w:t>
            </w:r>
            <w:r>
              <w:rPr>
                <w:sz w:val="16"/>
              </w:rPr>
              <w:t>Suivi du planning et des risques</w:t>
            </w:r>
          </w:p>
          <w:p>
            <w:pPr>
              <w:pStyle w:val="TTGCell"/>
              <w:keepNext/>
              <w:keepLines/>
              <w:ind w:left="170" w:hanging="170"/>
            </w:pPr>
            <w:r>
              <w:rPr>
                <w:b/>
                <w:color w:val="00A676"/>
                <w:sz w:val="16"/>
              </w:rPr>
              <w:t xml:space="preserve">• </w:t>
            </w:r>
            <w:r>
              <w:rPr>
                <w:sz w:val="16"/>
              </w:rPr>
              <w:t>Préparation des comités de pilotage</w:t>
            </w:r>
          </w:p>
          <w:p>
            <w:pPr>
              <w:pStyle w:val="TTGCell"/>
              <w:keepNext/>
              <w:keepLines/>
              <w:ind w:left="170" w:hanging="170"/>
            </w:pPr>
            <w:r>
              <w:rPr>
                <w:b/>
                <w:color w:val="00A676"/>
                <w:sz w:val="16"/>
              </w:rPr>
              <w:t xml:space="preserve">• </w:t>
            </w:r>
            <w:r>
              <w:rPr>
                <w:sz w:val="16"/>
              </w:rPr>
              <w:t>Contrôle des livrables</w:t>
            </w:r>
          </w:p>
          <w:p>
            <w:pPr>
              <w:pStyle w:val="TTGCell"/>
              <w:keepNext/>
              <w:keepLines/>
              <w:ind w:left="170" w:hanging="170"/>
            </w:pPr>
            <w:r>
              <w:rPr>
                <w:b/>
                <w:color w:val="00A676"/>
                <w:sz w:val="16"/>
              </w:rPr>
              <w:t xml:space="preserve">• </w:t>
            </w:r>
            <w:r>
              <w:rPr>
                <w:sz w:val="16"/>
              </w:rPr>
              <w:t>Rapport mensuel</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Tableau de bord du projet</w:t>
            </w:r>
          </w:p>
          <w:p>
            <w:pPr>
              <w:pStyle w:val="TTGCell"/>
              <w:keepNext/>
              <w:keepLines/>
              <w:ind w:left="170" w:hanging="170"/>
            </w:pPr>
            <w:r>
              <w:rPr>
                <w:b/>
                <w:color w:val="00A676"/>
                <w:sz w:val="16"/>
              </w:rPr>
              <w:t xml:space="preserve">• </w:t>
            </w:r>
            <w:r>
              <w:rPr>
                <w:sz w:val="16"/>
              </w:rPr>
              <w:t>Comptes rendus</w:t>
            </w:r>
          </w:p>
          <w:p>
            <w:pPr>
              <w:pStyle w:val="TTGCell"/>
              <w:keepNext/>
              <w:keepLines/>
              <w:ind w:left="170" w:hanging="170"/>
            </w:pPr>
            <w:r>
              <w:rPr>
                <w:b/>
                <w:color w:val="00A676"/>
                <w:sz w:val="16"/>
              </w:rPr>
              <w:t xml:space="preserve">• </w:t>
            </w:r>
            <w:r>
              <w:rPr>
                <w:sz w:val="16"/>
              </w:rPr>
              <w:t>Rapport mensuel</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Engagement de 3 mois minimum</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Facturation mensuelle sur la base du temps réalisé, payable sous 15 jours.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Réalisation technique</w:t>
            </w:r>
          </w:p>
          <w:p>
            <w:pPr>
              <w:pStyle w:val="TTGCell"/>
              <w:keepNext w:val="0"/>
              <w:keepLines/>
              <w:ind w:left="170" w:hanging="170"/>
            </w:pPr>
            <w:r>
              <w:rPr>
                <w:b/>
                <w:color w:val="00A676"/>
                <w:sz w:val="16"/>
              </w:rPr>
              <w:t xml:space="preserve">• </w:t>
            </w:r>
            <w:r>
              <w:rPr>
                <w:sz w:val="16"/>
              </w:rPr>
              <w:t>Déplacement hors Brazzaville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jours par mois</w:t>
            </w:r>
          </w:p>
          <w:p>
            <w:pPr>
              <w:pStyle w:val="TTGCell"/>
              <w:keepNext w:val="0"/>
              <w:keepLines/>
              <w:ind w:left="170" w:hanging="170"/>
            </w:pPr>
            <w:r>
              <w:rPr>
                <w:b/>
                <w:color w:val="00A676"/>
                <w:sz w:val="16"/>
              </w:rPr>
              <w:t xml:space="preserve">• </w:t>
            </w:r>
            <w:r>
              <w:rPr>
                <w:sz w:val="16"/>
              </w:rPr>
              <w:t>Nombre de prestataires à suivre</w:t>
            </w:r>
          </w:p>
          <w:p>
            <w:pPr>
              <w:pStyle w:val="TTGCell"/>
              <w:keepNext w:val="0"/>
              <w:keepLines/>
              <w:ind w:left="170" w:hanging="170"/>
            </w:pPr>
            <w:r>
              <w:rPr>
                <w:b/>
                <w:color w:val="00A676"/>
                <w:sz w:val="16"/>
              </w:rPr>
              <w:t xml:space="preserve">• </w:t>
            </w:r>
            <w:r>
              <w:rPr>
                <w:sz w:val="16"/>
              </w:rPr>
              <w:t>Complexité du projet</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OP12</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Déplacement hors Brazzaville</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Indépendance : si TechnologyTrade Group réalise aussi les développements, le conflit d’intérêts est signalé au client.</w:t>
      </w:r>
    </w:p>
    <w:p>
      <w:pPr>
        <w:pStyle w:val="ListBullet"/>
      </w:pPr>
      <w:r>
        <w:t>Confidentialité des informations recueillies : accord à signer avant le démarrage.</w:t>
      </w:r>
    </w:p>
    <w:p>
      <w:pPr>
        <w:pStyle w:val="ListBullet"/>
      </w:pPr>
      <w:r>
        <w:t>Recherche de financements : non incluse.</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TTG-GT-02-C08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8 · Conseil et accompagnement en transformation numérique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Conseil et accompagnement en transformation numérique</dc:title>
  <dc:subject>Catégorie 8 sur 8 · tarifs indicatifs en FCFA, hors taxes</dc:subject>
  <dc:creator>TechnologyTrade Group</dc:creator>
  <cp:keywords>TTG-GT-02-C08</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