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Display" w:hAnsi="Aptos Display"/>
          <w:b/>
          <w:color w:val="15284B"/>
          <w:sz w:val="46"/>
        </w:rPr>
        <w:t>FUTURE OF AAC BLOCKS IN INDIA</w:t>
      </w:r>
    </w:p>
    <w:p>
      <w:pPr>
        <w:spacing w:after="120"/>
      </w:pPr>
      <w:r>
        <w:rPr>
          <w:rFonts w:ascii="Aptos Display" w:hAnsi="Aptos Display"/>
          <w:color w:val="2767A8"/>
          <w:sz w:val="25"/>
        </w:rPr>
        <w:t>Market and Plant Outlook for Serious Investors</w:t>
      </w:r>
    </w:p>
    <w:p>
      <w:pPr>
        <w:pStyle w:val="Meta"/>
      </w:pPr>
      <w:r>
        <w:rPr>
          <w:b/>
        </w:rPr>
        <w:t xml:space="preserve">SEO Title: </w:t>
      </w:r>
      <w:r>
        <w:t>Future of AAC Blocks in India: Investor Outlook</w:t>
      </w:r>
    </w:p>
    <w:p>
      <w:pPr>
        <w:pStyle w:val="Meta"/>
      </w:pPr>
      <w:r>
        <w:rPr>
          <w:b/>
        </w:rPr>
        <w:t xml:space="preserve">Meta Description: </w:t>
      </w:r>
      <w:r>
        <w:t>Explore the future of AAC blocks in India, including demand drivers, market risks, plant technology, capacity planning and investment considerations.</w:t>
      </w:r>
    </w:p>
    <w:p>
      <w:pPr>
        <w:pStyle w:val="Meta"/>
      </w:pPr>
      <w:r>
        <w:rPr>
          <w:b/>
        </w:rPr>
        <w:t xml:space="preserve">Suggested URL: </w:t>
      </w:r>
      <w:r>
        <w:t>/future-of-aac-blocks-india/</w:t>
      </w:r>
    </w:p>
    <w:tbl>
      <w:tblPr>
        <w:tblW w:type="auto" w:w="0"/>
        <w:jc w:val="center"/>
        <w:tblLayout w:type="fixed"/>
        <w:tblLook w:firstColumn="1" w:firstRow="1" w:lastColumn="0" w:lastRow="0" w:noHBand="0" w:noVBand="1" w:val="04A0"/>
      </w:tblPr>
      <w:tblGrid>
        <w:gridCol w:w="10080"/>
      </w:tblGrid>
      <w:tr>
        <w:tc>
          <w:tcPr>
            <w:tcW w:type="dxa" w:w="10282"/>
            <w:shd w:fill="EAF1F8"/>
            <w:tcMar>
              <w:top w:w="90" w:type="dxa"/>
              <w:start w:w="130" w:type="dxa"/>
              <w:bottom w:w="90" w:type="dxa"/>
              <w:end w:w="130" w:type="dxa"/>
            </w:tcMar>
          </w:tcPr>
          <w:p>
            <w:pPr>
              <w:spacing w:after="0"/>
            </w:pPr>
            <w:r>
              <w:rPr>
                <w:b/>
                <w:color w:val="15284B"/>
                <w:sz w:val="20"/>
              </w:rPr>
              <w:t>AAC demand may grow, but industry growth alone does not guarantee the success of every AAC manufacturing plant.</w:t>
            </w:r>
          </w:p>
        </w:tc>
      </w:tr>
    </w:tbl>
    <w:p>
      <w:r>
        <w:rPr>
          <w:i w:val="0"/>
        </w:rPr>
        <w:t>AAC blocks are expected to play an increasingly important role in India’s construction industry. Their lightweight construction, dimensional accuracy, thermal performance and faster installation make them suitable for many residential, commercial, industrial and high-rise projects.</w:t>
      </w:r>
    </w:p>
    <w:p>
      <w:r>
        <w:rPr>
          <w:i w:val="0"/>
        </w:rPr>
        <w:t>For an investor, the opportunity depends on regional demand, competing capacity, transport distance, raw-material suitability, product quality, plant utilisation and the ability to expand without unnecessary initial investment.</w:t>
      </w:r>
    </w:p>
    <w:p>
      <w:pPr>
        <w:keepNext/>
        <w:spacing w:before="0" w:after="80"/>
      </w:pPr>
      <w:r>
        <w:rPr>
          <w:b/>
          <w:color w:val="2767A8"/>
          <w:sz w:val="18"/>
        </w:rPr>
        <w:t xml:space="preserve">SCROLL 1  </w:t>
      </w:r>
      <w:r>
        <w:rPr>
          <w:b/>
          <w:color w:val="15284B"/>
          <w:sz w:val="30"/>
        </w:rPr>
        <w:t>Why AAC Adoption Is Growing</w:t>
      </w:r>
    </w:p>
    <w:p>
      <w:pPr>
        <w:pStyle w:val="Heading2"/>
      </w:pPr>
      <w:r>
        <w:t>Construction Is Changing. Walling Materials Must Change With It.</w:t>
      </w:r>
    </w:p>
    <w:p>
      <w:r>
        <w:rPr>
          <w:i w:val="0"/>
        </w:rPr>
        <w:t>India’s construction industry increasingly values faster execution, labour productivity, consistent quality, lower structural dead load, thermal performance and reduced site wastage. AAC addresses several of these needs through a factory-controlled manufacturing process.</w:t>
      </w:r>
    </w:p>
    <w:p>
      <w:r>
        <w:rPr>
          <w:i w:val="0"/>
        </w:rPr>
        <w:t>Compared with conventional clay bricks, AAC blocks are generally larger, lighter and more dimensionally consistent. Lower wall weight can reduce masonry dead load, but any structural optimisation must be determined by the project’s structural engineer.</w:t>
      </w:r>
    </w:p>
    <w:p>
      <w:pPr>
        <w:pStyle w:val="Heading2"/>
      </w:pPr>
      <w:r>
        <w:t>What Will Drive Future AAC Demand?</w:t>
      </w:r>
    </w:p>
    <w:p>
      <w:pPr>
        <w:spacing w:after="40"/>
      </w:pPr>
      <w:r>
        <w:rPr>
          <w:b/>
          <w:color w:val="15284B"/>
        </w:rPr>
        <w:t xml:space="preserve">Faster execution. </w:t>
      </w:r>
      <w:r>
        <w:t>Larger blocks and thin-joint installation can improve walling productivity when materials, logistics and workmanship are properly managed.</w:t>
      </w:r>
    </w:p>
    <w:p>
      <w:pPr>
        <w:spacing w:after="40"/>
      </w:pPr>
      <w:r>
        <w:rPr>
          <w:b/>
          <w:color w:val="15284B"/>
        </w:rPr>
        <w:t xml:space="preserve">Lightweight construction. </w:t>
      </w:r>
      <w:r>
        <w:t>Lower-density walling can be valuable in suitable high-rise and framed-structure applications.</w:t>
      </w:r>
    </w:p>
    <w:p>
      <w:pPr>
        <w:spacing w:after="40"/>
      </w:pPr>
      <w:r>
        <w:rPr>
          <w:b/>
          <w:color w:val="15284B"/>
        </w:rPr>
        <w:t xml:space="preserve">Thermal performance. </w:t>
      </w:r>
      <w:r>
        <w:t>AAC’s cellular structure can reduce wall heat transfer; whole-building performance still depends on climate and complete building design.</w:t>
      </w:r>
    </w:p>
    <w:p>
      <w:pPr>
        <w:spacing w:after="40"/>
      </w:pPr>
      <w:r>
        <w:rPr>
          <w:b/>
          <w:color w:val="15284B"/>
        </w:rPr>
        <w:t xml:space="preserve">Consistent production. </w:t>
      </w:r>
      <w:r>
        <w:t>Institutional buyers increasingly expect predictable dimensions, density, strength, appearance and supply.</w:t>
      </w:r>
    </w:p>
    <w:p>
      <w:pPr>
        <w:spacing w:after="40"/>
      </w:pPr>
      <w:r>
        <w:rPr>
          <w:b/>
          <w:color w:val="15284B"/>
        </w:rPr>
        <w:t xml:space="preserve">Product evolution. </w:t>
      </w:r>
      <w:r>
        <w:t>Selected markets may support panels, lintels, special sizes and higher levels of automated handling.</w:t>
      </w:r>
    </w:p>
    <w:p>
      <w:pPr>
        <w:pStyle w:val="Heading2"/>
      </w:pPr>
      <w:r>
        <w:t>Will AAC Completely Replace Traditional Bricks?</w:t>
      </w:r>
    </w:p>
    <w:p>
      <w:r>
        <w:rPr>
          <w:i w:val="0"/>
        </w:rPr>
        <w:t>Not in every market or application. Clay bricks, fly ash bricks, concrete blocks and AAC will continue to coexist. AAC is most likely to gain share where speed, weight, accuracy, thermal performance and reduced site handling create measurable total-project value.</w:t>
      </w:r>
    </w:p>
    <w:p>
      <w:r>
        <w:br w:type="page"/>
      </w:r>
    </w:p>
    <w:p>
      <w:pPr>
        <w:keepNext/>
        <w:spacing w:before="0" w:after="80"/>
      </w:pPr>
      <w:r>
        <w:rPr>
          <w:b/>
          <w:color w:val="2767A8"/>
          <w:sz w:val="18"/>
        </w:rPr>
        <w:t xml:space="preserve">SCROLL 2  </w:t>
      </w:r>
      <w:r>
        <w:rPr>
          <w:b/>
          <w:color w:val="15284B"/>
          <w:sz w:val="30"/>
        </w:rPr>
        <w:t>What the Future Means for AAC Plant Investors</w:t>
      </w:r>
    </w:p>
    <w:tbl>
      <w:tblPr>
        <w:tblW w:type="auto" w:w="0"/>
        <w:jc w:val="center"/>
        <w:tblLayout w:type="fixed"/>
        <w:tblLook w:firstColumn="1" w:firstRow="1" w:lastColumn="0" w:lastRow="0" w:noHBand="0" w:noVBand="1" w:val="04A0"/>
      </w:tblPr>
      <w:tblGrid>
        <w:gridCol w:w="10080"/>
      </w:tblGrid>
      <w:tr>
        <w:tc>
          <w:tcPr>
            <w:tcW w:type="dxa" w:w="10282"/>
            <w:shd w:fill="EAF1F8"/>
            <w:tcMar>
              <w:top w:w="90" w:type="dxa"/>
              <w:start w:w="130" w:type="dxa"/>
              <w:bottom w:w="90" w:type="dxa"/>
              <w:end w:w="130" w:type="dxa"/>
            </w:tcMar>
          </w:tcPr>
          <w:p>
            <w:pPr>
              <w:spacing w:after="0"/>
            </w:pPr>
            <w:r>
              <w:rPr>
                <w:b/>
                <w:color w:val="15284B"/>
                <w:sz w:val="20"/>
              </w:rPr>
              <w:t>A growing national market does not automatically create a viable plant in every location.</w:t>
            </w:r>
          </w:p>
        </w:tc>
      </w:tr>
    </w:tbl>
    <w:p>
      <w:r>
        <w:rPr>
          <w:i w:val="0"/>
        </w:rPr>
        <w:t>Before selecting machinery or production capacity, an investor should examine seven practical factors.</w:t>
      </w:r>
    </w:p>
    <w:p>
      <w:pPr>
        <w:keepLines/>
        <w:spacing w:after="60"/>
      </w:pPr>
      <w:r>
        <w:rPr>
          <w:b/>
          <w:color w:val="15284B"/>
        </w:rPr>
        <w:t xml:space="preserve">1. Regional demand. </w:t>
      </w:r>
      <w:r>
        <w:t>Estimate realistic consumption inside the proposed sales territory. Separate current demand from expected future demand and identify repeat customer segments.</w:t>
      </w:r>
    </w:p>
    <w:p>
      <w:pPr>
        <w:keepLines/>
        <w:spacing w:after="60"/>
      </w:pPr>
      <w:r>
        <w:rPr>
          <w:b/>
          <w:color w:val="15284B"/>
        </w:rPr>
        <w:t xml:space="preserve">2. Existing capacity. </w:t>
      </w:r>
      <w:r>
        <w:t>Map competing plants, approximate utilisation, product quality, prices, dealer networks and delivery reach. A growing market can still be locally oversupplied.</w:t>
      </w:r>
    </w:p>
    <w:p>
      <w:pPr>
        <w:keepLines/>
        <w:spacing w:after="60"/>
      </w:pPr>
      <w:r>
        <w:rPr>
          <w:b/>
          <w:color w:val="15284B"/>
        </w:rPr>
        <w:t xml:space="preserve">3. Economical delivery radius. </w:t>
      </w:r>
      <w:r>
        <w:t>AAC occupies considerable transport volume. Freight, road access and unloading can materially influence delivered cost.</w:t>
      </w:r>
    </w:p>
    <w:p>
      <w:pPr>
        <w:keepLines/>
        <w:spacing w:after="60"/>
      </w:pPr>
      <w:r>
        <w:rPr>
          <w:b/>
          <w:color w:val="15284B"/>
        </w:rPr>
        <w:t xml:space="preserve">4. Raw-material suitability. </w:t>
      </w:r>
      <w:r>
        <w:t>Availability is not enough. Representative materials should be tested before the process and equipment configuration are finalised.</w:t>
      </w:r>
    </w:p>
    <w:p>
      <w:pPr>
        <w:keepLines/>
        <w:spacing w:after="60"/>
      </w:pPr>
      <w:r>
        <w:rPr>
          <w:b/>
          <w:color w:val="15284B"/>
        </w:rPr>
        <w:t xml:space="preserve">5. Correct plant capacity. </w:t>
      </w:r>
      <w:r>
        <w:t>An oversized plant can create low utilisation and capital pressure; an undersized plant can restrict growth. Plan capacity around realistic ramp-up and expansion.</w:t>
      </w:r>
    </w:p>
    <w:p>
      <w:pPr>
        <w:keepLines/>
        <w:spacing w:after="60"/>
      </w:pPr>
      <w:r>
        <w:rPr>
          <w:b/>
          <w:color w:val="15284B"/>
        </w:rPr>
        <w:t xml:space="preserve">6. Product quality. </w:t>
      </w:r>
      <w:r>
        <w:t>Future competition will depend on consistent density, strength, dimensions, appearance, packaging and supply—not theoretical output alone.</w:t>
      </w:r>
    </w:p>
    <w:p>
      <w:pPr>
        <w:keepLines/>
        <w:spacing w:after="60"/>
      </w:pPr>
      <w:r>
        <w:rPr>
          <w:b/>
          <w:color w:val="15284B"/>
        </w:rPr>
        <w:t xml:space="preserve">7. Sales readiness. </w:t>
      </w:r>
      <w:r>
        <w:t>The business plan must cover project sales, dealers, technical education, transport, unloading, credit control and complaint resolution.</w:t>
      </w:r>
    </w:p>
    <w:p>
      <w:pPr>
        <w:pStyle w:val="Heading2"/>
      </w:pPr>
      <w:r>
        <w:t>Capacity Selection Must Follow the Market</w:t>
      </w:r>
    </w:p>
    <w:p>
      <w:r>
        <w:rPr>
          <w:i w:val="0"/>
        </w:rPr>
        <w:t>Capacity planning should consider realistic regional sales, ramp-up time, working days and shifts, product mix, maintenance downtime, utilities, working capital and future expansion. Machinery capacity should not be selected from a national growth forecast alone.</w:t>
      </w:r>
    </w:p>
    <w:p>
      <w:pPr>
        <w:pStyle w:val="Heading2"/>
      </w:pPr>
      <w:r>
        <w:t>What Could Slow AAC Adoption?</w:t>
      </w:r>
    </w:p>
    <w:p>
      <w:pPr>
        <w:pStyle w:val="ListBullet"/>
        <w:spacing w:after="20"/>
      </w:pPr>
      <w:r>
        <w:t>Uneven awareness and acceptance across regions</w:t>
      </w:r>
    </w:p>
    <w:p>
      <w:pPr>
        <w:pStyle w:val="ListBullet"/>
        <w:spacing w:after="20"/>
      </w:pPr>
      <w:r>
        <w:t>High freight impact over long distances</w:t>
      </w:r>
    </w:p>
    <w:p>
      <w:pPr>
        <w:pStyle w:val="ListBullet"/>
        <w:spacing w:after="20"/>
      </w:pPr>
      <w:r>
        <w:t>Incorrect installation, jointing or finishing practices</w:t>
      </w:r>
    </w:p>
    <w:p>
      <w:pPr>
        <w:pStyle w:val="ListBullet"/>
        <w:spacing w:after="20"/>
      </w:pPr>
      <w:r>
        <w:t>Inconsistent quality from poorly controlled plants</w:t>
      </w:r>
    </w:p>
    <w:p>
      <w:pPr>
        <w:pStyle w:val="ListBullet"/>
        <w:spacing w:after="20"/>
      </w:pPr>
      <w:r>
        <w:t>Price pressure in oversupplied territories</w:t>
      </w:r>
    </w:p>
    <w:p>
      <w:pPr>
        <w:pStyle w:val="ListBullet"/>
        <w:spacing w:after="20"/>
      </w:pPr>
      <w:r>
        <w:t>Slow utilisation while a new market and dealer network develop</w:t>
      </w:r>
    </w:p>
    <w:p>
      <w:r>
        <w:rPr>
          <w:i/>
          <w:color w:val="5B6573"/>
        </w:rPr>
        <w:t>These challenges do not remove the opportunity. They show why market planning, product quality and customer education are as important as plant installation.</w:t>
      </w:r>
    </w:p>
    <w:p>
      <w:pPr>
        <w:pStyle w:val="Heading2"/>
      </w:pPr>
      <w:r>
        <w:t>Investor Reality Check</w:t>
      </w:r>
    </w:p>
    <w:tbl>
      <w:tblPr>
        <w:tblW w:type="auto" w:w="0"/>
        <w:jc w:val="center"/>
        <w:tblLayout w:type="fixed"/>
        <w:tblLook w:firstColumn="1" w:firstRow="1" w:lastColumn="0" w:lastRow="0" w:noHBand="0" w:noVBand="1" w:val="04A0"/>
        <w:tblBorders>
          <w:top w:val="single" w:sz="5" w:color="D5DCE5"/>
          <w:left w:val="single" w:sz="5" w:color="D5DCE5"/>
          <w:bottom w:val="single" w:sz="5" w:color="D5DCE5"/>
          <w:right w:val="single" w:sz="5" w:color="D5DCE5"/>
          <w:insideH w:val="single" w:sz="5" w:color="D5DCE5"/>
          <w:insideV w:val="single" w:sz="5" w:color="D5DCE5"/>
        </w:tblBorders>
      </w:tblPr>
      <w:tblGrid>
        <w:gridCol w:w="3168"/>
        <w:gridCol w:w="6912"/>
      </w:tblGrid>
      <w:tr>
        <w:tc>
          <w:tcPr>
            <w:tcW w:type="dxa" w:w="5141"/>
            <w:shd w:fill="15284B"/>
            <w:tcMar>
              <w:top w:w="60" w:type="dxa"/>
              <w:start w:w="90" w:type="dxa"/>
              <w:bottom w:w="60" w:type="dxa"/>
              <w:end w:w="90" w:type="dxa"/>
            </w:tcMar>
          </w:tcPr>
          <w:p>
            <w:r>
              <w:rPr>
                <w:b/>
                <w:color w:val="FFFFFF"/>
              </w:rPr>
              <w:t>Industry signal</w:t>
            </w:r>
          </w:p>
        </w:tc>
        <w:tc>
          <w:tcPr>
            <w:tcW w:type="dxa" w:w="5141"/>
            <w:shd w:fill="15284B"/>
            <w:tcMar>
              <w:top w:w="60" w:type="dxa"/>
              <w:start w:w="90" w:type="dxa"/>
              <w:bottom w:w="60" w:type="dxa"/>
              <w:end w:w="90" w:type="dxa"/>
            </w:tcMar>
          </w:tcPr>
          <w:p>
            <w:r>
              <w:rPr>
                <w:b/>
                <w:color w:val="FFFFFF"/>
              </w:rPr>
              <w:t>Local decision required</w:t>
            </w:r>
          </w:p>
        </w:tc>
      </w:tr>
      <w:tr>
        <w:tc>
          <w:tcPr>
            <w:tcW w:type="dxa" w:w="3168"/>
            <w:vAlign w:val="center"/>
            <w:tcMar>
              <w:top w:w="60" w:type="dxa"/>
              <w:start w:w="90" w:type="dxa"/>
              <w:bottom w:w="60" w:type="dxa"/>
              <w:end w:w="90" w:type="dxa"/>
            </w:tcMar>
          </w:tcPr>
          <w:p>
            <w:r>
              <w:t>Construction growth</w:t>
            </w:r>
          </w:p>
        </w:tc>
        <w:tc>
          <w:tcPr>
            <w:tcW w:type="dxa" w:w="6912"/>
            <w:vAlign w:val="center"/>
            <w:tcMar>
              <w:top w:w="60" w:type="dxa"/>
              <w:start w:w="90" w:type="dxa"/>
              <w:bottom w:w="60" w:type="dxa"/>
              <w:end w:w="90" w:type="dxa"/>
            </w:tcMar>
          </w:tcPr>
          <w:p>
            <w:r>
              <w:t>Can the proposed location serve sufficient demand at a competitive delivered cost?</w:t>
            </w:r>
          </w:p>
        </w:tc>
      </w:tr>
      <w:tr>
        <w:tc>
          <w:tcPr>
            <w:tcW w:type="dxa" w:w="3168"/>
            <w:vAlign w:val="center"/>
            <w:tcMar>
              <w:top w:w="60" w:type="dxa"/>
              <w:start w:w="90" w:type="dxa"/>
              <w:bottom w:w="60" w:type="dxa"/>
              <w:end w:w="90" w:type="dxa"/>
            </w:tcMar>
          </w:tcPr>
          <w:p>
            <w:r>
              <w:t>AAC adoption</w:t>
            </w:r>
          </w:p>
        </w:tc>
        <w:tc>
          <w:tcPr>
            <w:tcW w:type="dxa" w:w="6912"/>
            <w:vAlign w:val="center"/>
            <w:tcMar>
              <w:top w:w="60" w:type="dxa"/>
              <w:start w:w="90" w:type="dxa"/>
              <w:bottom w:w="60" w:type="dxa"/>
              <w:end w:w="90" w:type="dxa"/>
            </w:tcMar>
          </w:tcPr>
          <w:p>
            <w:r>
              <w:t>How much existing capacity already serves the region?</w:t>
            </w:r>
          </w:p>
        </w:tc>
      </w:tr>
      <w:tr>
        <w:tc>
          <w:tcPr>
            <w:tcW w:type="dxa" w:w="3168"/>
            <w:vAlign w:val="center"/>
            <w:tcMar>
              <w:top w:w="60" w:type="dxa"/>
              <w:start w:w="90" w:type="dxa"/>
              <w:bottom w:w="60" w:type="dxa"/>
              <w:end w:w="90" w:type="dxa"/>
            </w:tcMar>
          </w:tcPr>
          <w:p>
            <w:r>
              <w:t>Labour pressure</w:t>
            </w:r>
          </w:p>
        </w:tc>
        <w:tc>
          <w:tcPr>
            <w:tcW w:type="dxa" w:w="6912"/>
            <w:vAlign w:val="center"/>
            <w:tcMar>
              <w:top w:w="60" w:type="dxa"/>
              <w:start w:w="90" w:type="dxa"/>
              <w:bottom w:w="60" w:type="dxa"/>
              <w:end w:w="90" w:type="dxa"/>
            </w:tcMar>
          </w:tcPr>
          <w:p>
            <w:r>
              <w:t>Which operations genuinely justify automation?</w:t>
            </w:r>
          </w:p>
        </w:tc>
      </w:tr>
      <w:tr>
        <w:tc>
          <w:tcPr>
            <w:tcW w:type="dxa" w:w="3168"/>
            <w:vAlign w:val="center"/>
            <w:tcMar>
              <w:top w:w="60" w:type="dxa"/>
              <w:start w:w="90" w:type="dxa"/>
              <w:bottom w:w="60" w:type="dxa"/>
              <w:end w:w="90" w:type="dxa"/>
            </w:tcMar>
          </w:tcPr>
          <w:p>
            <w:r>
              <w:t>Institutional demand</w:t>
            </w:r>
          </w:p>
        </w:tc>
        <w:tc>
          <w:tcPr>
            <w:tcW w:type="dxa" w:w="6912"/>
            <w:vAlign w:val="center"/>
            <w:tcMar>
              <w:top w:w="60" w:type="dxa"/>
              <w:start w:w="90" w:type="dxa"/>
              <w:bottom w:w="60" w:type="dxa"/>
              <w:end w:w="90" w:type="dxa"/>
            </w:tcMar>
          </w:tcPr>
          <w:p>
            <w:r>
              <w:t>Can the plant maintain consistent quality and supply?</w:t>
            </w:r>
          </w:p>
        </w:tc>
      </w:tr>
    </w:tbl>
    <w:p>
      <w:r>
        <w:br w:type="page"/>
      </w:r>
    </w:p>
    <w:p>
      <w:pPr>
        <w:keepNext/>
        <w:spacing w:before="0" w:after="80"/>
      </w:pPr>
      <w:r>
        <w:rPr>
          <w:b/>
          <w:color w:val="2767A8"/>
          <w:sz w:val="18"/>
        </w:rPr>
        <w:t xml:space="preserve">SCROLL 3  </w:t>
      </w:r>
      <w:r>
        <w:rPr>
          <w:b/>
          <w:color w:val="15284B"/>
          <w:sz w:val="30"/>
        </w:rPr>
        <w:t>How AAC Manufacturing Technology Is Evolving</w:t>
      </w:r>
    </w:p>
    <w:tbl>
      <w:tblPr>
        <w:tblW w:type="auto" w:w="0"/>
        <w:jc w:val="center"/>
        <w:tblLayout w:type="fixed"/>
        <w:tblLook w:firstColumn="1" w:firstRow="1" w:lastColumn="0" w:lastRow="0" w:noHBand="0" w:noVBand="1" w:val="04A0"/>
      </w:tblPr>
      <w:tblGrid>
        <w:gridCol w:w="10080"/>
      </w:tblGrid>
      <w:tr>
        <w:tc>
          <w:tcPr>
            <w:tcW w:type="dxa" w:w="10282"/>
            <w:shd w:fill="EAF1F8"/>
            <w:tcMar>
              <w:top w:w="90" w:type="dxa"/>
              <w:start w:w="130" w:type="dxa"/>
              <w:bottom w:w="90" w:type="dxa"/>
              <w:end w:w="130" w:type="dxa"/>
            </w:tcMar>
          </w:tcPr>
          <w:p>
            <w:pPr>
              <w:spacing w:after="0"/>
            </w:pPr>
            <w:r>
              <w:rPr>
                <w:b/>
                <w:color w:val="15284B"/>
                <w:sz w:val="20"/>
              </w:rPr>
              <w:t>The future is intelligent automation—not automation for its own sake.</w:t>
            </w:r>
          </w:p>
        </w:tc>
      </w:tr>
    </w:tbl>
    <w:p>
      <w:r>
        <w:rPr>
          <w:i w:val="0"/>
        </w:rPr>
        <w:t>Automation should be applied where it improves process consistency, safety, repetitive material handling, traceability, product quality and plant availability. Full automation can reduce some manual activities, but it can also increase dependence on instrumentation, controls and skilled technical maintenance.</w:t>
      </w:r>
    </w:p>
    <w:p>
      <w:r>
        <w:rPr>
          <w:i w:val="0"/>
        </w:rPr>
        <w:t>A well-designed hybrid system can automate labour-intensive or process-critical operations while retaining practical manual or semi-automatic control elsewhere. The correct approach depends on capacity, labour conditions, technical support and the investor’s operating model.</w:t>
      </w:r>
    </w:p>
    <w:p>
      <w:pPr>
        <w:pStyle w:val="Heading2"/>
      </w:pPr>
      <w:r>
        <w:t>Five Capabilities Likely to Matter More</w:t>
      </w:r>
    </w:p>
    <w:p>
      <w:pPr>
        <w:spacing w:after="50"/>
      </w:pPr>
      <w:r>
        <w:rPr>
          <w:b/>
          <w:color w:val="15284B"/>
        </w:rPr>
        <w:t xml:space="preserve">Process data and quality control. </w:t>
      </w:r>
      <w:r>
        <w:t>Measurable information from raw-material preparation through batching, cutting and autoclaving.</w:t>
      </w:r>
    </w:p>
    <w:p>
      <w:pPr>
        <w:spacing w:after="50"/>
      </w:pPr>
      <w:r>
        <w:rPr>
          <w:b/>
          <w:color w:val="15284B"/>
        </w:rPr>
        <w:t xml:space="preserve">Energy and steam management. </w:t>
      </w:r>
      <w:r>
        <w:t>Integrated boiler selection, steam distribution, condensate handling, insulation and cycle management.</w:t>
      </w:r>
    </w:p>
    <w:p>
      <w:pPr>
        <w:spacing w:after="50"/>
      </w:pPr>
      <w:r>
        <w:rPr>
          <w:b/>
          <w:color w:val="15284B"/>
        </w:rPr>
        <w:t xml:space="preserve">Automated material handling. </w:t>
      </w:r>
      <w:r>
        <w:t>Targeted automation for cake handling, autoclave logistics, separation, cubing and palletising at suitable capacities.</w:t>
      </w:r>
    </w:p>
    <w:p>
      <w:pPr>
        <w:spacing w:after="50"/>
      </w:pPr>
      <w:r>
        <w:rPr>
          <w:b/>
          <w:color w:val="15284B"/>
        </w:rPr>
        <w:t xml:space="preserve">Modular expansion. </w:t>
      </w:r>
      <w:r>
        <w:t>Production and utility systems planned for practical future growth wherever technically and commercially feasible.</w:t>
      </w:r>
    </w:p>
    <w:p>
      <w:pPr>
        <w:spacing w:after="50"/>
      </w:pPr>
      <w:r>
        <w:rPr>
          <w:b/>
          <w:color w:val="15284B"/>
        </w:rPr>
        <w:t xml:space="preserve">Product flexibility. </w:t>
      </w:r>
      <w:r>
        <w:t>Readiness for changing sizes, packaging standards and potential future demand for panels or related products.</w:t>
      </w:r>
    </w:p>
    <w:p>
      <w:pPr>
        <w:pStyle w:val="Heading2"/>
      </w:pPr>
      <w:r>
        <w:t>Questions to Answer Before Ordering</w:t>
      </w:r>
    </w:p>
    <w:tbl>
      <w:tblPr>
        <w:tblW w:type="auto" w:w="0"/>
        <w:jc w:val="center"/>
        <w:tblLayout w:type="fixed"/>
        <w:tblLook w:firstColumn="1" w:firstRow="1" w:lastColumn="0" w:lastRow="0" w:noHBand="0" w:noVBand="1" w:val="04A0"/>
        <w:tblBorders>
          <w:top w:val="single" w:sz="5" w:color="D5DCE5"/>
          <w:left w:val="single" w:sz="5" w:color="D5DCE5"/>
          <w:bottom w:val="single" w:sz="5" w:color="D5DCE5"/>
          <w:right w:val="single" w:sz="5" w:color="D5DCE5"/>
          <w:insideH w:val="single" w:sz="5" w:color="D5DCE5"/>
          <w:insideV w:val="single" w:sz="5" w:color="D5DCE5"/>
        </w:tblBorders>
      </w:tblPr>
      <w:tblGrid>
        <w:gridCol w:w="2088"/>
        <w:gridCol w:w="7992"/>
      </w:tblGrid>
      <w:tr>
        <w:tc>
          <w:tcPr>
            <w:tcW w:type="dxa" w:w="5141"/>
            <w:shd w:fill="15284B"/>
            <w:tcMar>
              <w:top w:w="50" w:type="dxa"/>
              <w:start w:w="90" w:type="dxa"/>
              <w:bottom w:w="50" w:type="dxa"/>
              <w:end w:w="90" w:type="dxa"/>
            </w:tcMar>
          </w:tcPr>
          <w:p>
            <w:r>
              <w:rPr>
                <w:b/>
                <w:color w:val="FFFFFF"/>
              </w:rPr>
              <w:t>Decision</w:t>
            </w:r>
          </w:p>
        </w:tc>
        <w:tc>
          <w:tcPr>
            <w:tcW w:type="dxa" w:w="5141"/>
            <w:shd w:fill="15284B"/>
            <w:tcMar>
              <w:top w:w="50" w:type="dxa"/>
              <w:start w:w="90" w:type="dxa"/>
              <w:bottom w:w="50" w:type="dxa"/>
              <w:end w:w="90" w:type="dxa"/>
            </w:tcMar>
          </w:tcPr>
          <w:p>
            <w:r>
              <w:rPr>
                <w:b/>
                <w:color w:val="FFFFFF"/>
              </w:rPr>
              <w:t>Question to answer</w:t>
            </w:r>
          </w:p>
        </w:tc>
      </w:tr>
      <w:tr>
        <w:tc>
          <w:tcPr>
            <w:tcW w:type="dxa" w:w="2088"/>
            <w:tcMar>
              <w:top w:w="45" w:type="dxa"/>
              <w:start w:w="90" w:type="dxa"/>
              <w:bottom w:w="45" w:type="dxa"/>
              <w:end w:w="90" w:type="dxa"/>
            </w:tcMar>
            <w:vAlign w:val="center"/>
          </w:tcPr>
          <w:p>
            <w:pPr>
              <w:spacing w:after="0"/>
            </w:pPr>
            <w:r>
              <w:t>Location</w:t>
            </w:r>
          </w:p>
        </w:tc>
        <w:tc>
          <w:tcPr>
            <w:tcW w:type="dxa" w:w="7992"/>
            <w:tcMar>
              <w:top w:w="45" w:type="dxa"/>
              <w:start w:w="90" w:type="dxa"/>
              <w:bottom w:w="45" w:type="dxa"/>
              <w:end w:w="90" w:type="dxa"/>
            </w:tcMar>
            <w:vAlign w:val="center"/>
          </w:tcPr>
          <w:p>
            <w:pPr>
              <w:spacing w:after="0"/>
            </w:pPr>
            <w:r>
              <w:t>Can the site competitively serve sufficient demand?</w:t>
            </w:r>
          </w:p>
        </w:tc>
      </w:tr>
      <w:tr>
        <w:tc>
          <w:tcPr>
            <w:tcW w:type="dxa" w:w="2088"/>
            <w:tcMar>
              <w:top w:w="45" w:type="dxa"/>
              <w:start w:w="90" w:type="dxa"/>
              <w:bottom w:w="45" w:type="dxa"/>
              <w:end w:w="90" w:type="dxa"/>
            </w:tcMar>
            <w:vAlign w:val="center"/>
          </w:tcPr>
          <w:p>
            <w:pPr>
              <w:spacing w:after="0"/>
            </w:pPr>
            <w:r>
              <w:t>Capacity</w:t>
            </w:r>
          </w:p>
        </w:tc>
        <w:tc>
          <w:tcPr>
            <w:tcW w:type="dxa" w:w="7992"/>
            <w:tcMar>
              <w:top w:w="45" w:type="dxa"/>
              <w:start w:w="90" w:type="dxa"/>
              <w:bottom w:w="45" w:type="dxa"/>
              <w:end w:w="90" w:type="dxa"/>
            </w:tcMar>
            <w:vAlign w:val="center"/>
          </w:tcPr>
          <w:p>
            <w:pPr>
              <w:spacing w:after="0"/>
            </w:pPr>
            <w:r>
              <w:t>What output can the market absorb during each phase?</w:t>
            </w:r>
          </w:p>
        </w:tc>
      </w:tr>
      <w:tr>
        <w:tc>
          <w:tcPr>
            <w:tcW w:type="dxa" w:w="2088"/>
            <w:tcMar>
              <w:top w:w="45" w:type="dxa"/>
              <w:start w:w="90" w:type="dxa"/>
              <w:bottom w:w="45" w:type="dxa"/>
              <w:end w:w="90" w:type="dxa"/>
            </w:tcMar>
            <w:vAlign w:val="center"/>
          </w:tcPr>
          <w:p>
            <w:pPr>
              <w:spacing w:after="0"/>
            </w:pPr>
            <w:r>
              <w:t>Raw materials</w:t>
            </w:r>
          </w:p>
        </w:tc>
        <w:tc>
          <w:tcPr>
            <w:tcW w:type="dxa" w:w="7992"/>
            <w:tcMar>
              <w:top w:w="45" w:type="dxa"/>
              <w:start w:w="90" w:type="dxa"/>
              <w:bottom w:w="45" w:type="dxa"/>
              <w:end w:w="90" w:type="dxa"/>
            </w:tcMar>
            <w:vAlign w:val="center"/>
          </w:tcPr>
          <w:p>
            <w:pPr>
              <w:spacing w:after="0"/>
            </w:pPr>
            <w:r>
              <w:t>Have representative materials been tested?</w:t>
            </w:r>
          </w:p>
        </w:tc>
      </w:tr>
      <w:tr>
        <w:tc>
          <w:tcPr>
            <w:tcW w:type="dxa" w:w="2088"/>
            <w:tcMar>
              <w:top w:w="45" w:type="dxa"/>
              <w:start w:w="90" w:type="dxa"/>
              <w:bottom w:w="45" w:type="dxa"/>
              <w:end w:w="90" w:type="dxa"/>
            </w:tcMar>
            <w:vAlign w:val="center"/>
          </w:tcPr>
          <w:p>
            <w:pPr>
              <w:spacing w:after="0"/>
            </w:pPr>
            <w:r>
              <w:t>Automation</w:t>
            </w:r>
          </w:p>
        </w:tc>
        <w:tc>
          <w:tcPr>
            <w:tcW w:type="dxa" w:w="7992"/>
            <w:tcMar>
              <w:top w:w="45" w:type="dxa"/>
              <w:start w:w="90" w:type="dxa"/>
              <w:bottom w:w="45" w:type="dxa"/>
              <w:end w:w="90" w:type="dxa"/>
            </w:tcMar>
            <w:vAlign w:val="center"/>
          </w:tcPr>
          <w:p>
            <w:pPr>
              <w:spacing w:after="0"/>
            </w:pPr>
            <w:r>
              <w:t>Which operations create the greatest labour, safety or consistency risk?</w:t>
            </w:r>
          </w:p>
        </w:tc>
      </w:tr>
      <w:tr>
        <w:tc>
          <w:tcPr>
            <w:tcW w:type="dxa" w:w="2088"/>
            <w:tcMar>
              <w:top w:w="45" w:type="dxa"/>
              <w:start w:w="90" w:type="dxa"/>
              <w:bottom w:w="45" w:type="dxa"/>
              <w:end w:w="90" w:type="dxa"/>
            </w:tcMar>
            <w:vAlign w:val="center"/>
          </w:tcPr>
          <w:p>
            <w:pPr>
              <w:spacing w:after="0"/>
            </w:pPr>
            <w:r>
              <w:t>Utilities</w:t>
            </w:r>
          </w:p>
        </w:tc>
        <w:tc>
          <w:tcPr>
            <w:tcW w:type="dxa" w:w="7992"/>
            <w:tcMar>
              <w:top w:w="45" w:type="dxa"/>
              <w:start w:w="90" w:type="dxa"/>
              <w:bottom w:w="45" w:type="dxa"/>
              <w:end w:w="90" w:type="dxa"/>
            </w:tcMar>
            <w:vAlign w:val="center"/>
          </w:tcPr>
          <w:p>
            <w:pPr>
              <w:spacing w:after="0"/>
            </w:pPr>
            <w:r>
              <w:t>Are power, water, steam and fuel provisions adequate?</w:t>
            </w:r>
          </w:p>
        </w:tc>
      </w:tr>
      <w:tr>
        <w:tc>
          <w:tcPr>
            <w:tcW w:type="dxa" w:w="2088"/>
            <w:tcMar>
              <w:top w:w="45" w:type="dxa"/>
              <w:start w:w="90" w:type="dxa"/>
              <w:bottom w:w="45" w:type="dxa"/>
              <w:end w:w="90" w:type="dxa"/>
            </w:tcMar>
            <w:vAlign w:val="center"/>
          </w:tcPr>
          <w:p>
            <w:pPr>
              <w:spacing w:after="0"/>
            </w:pPr>
            <w:r>
              <w:t>Expansion</w:t>
            </w:r>
          </w:p>
        </w:tc>
        <w:tc>
          <w:tcPr>
            <w:tcW w:type="dxa" w:w="7992"/>
            <w:tcMar>
              <w:top w:w="45" w:type="dxa"/>
              <w:start w:w="90" w:type="dxa"/>
              <w:bottom w:w="45" w:type="dxa"/>
              <w:end w:w="90" w:type="dxa"/>
            </w:tcMar>
            <w:vAlign w:val="center"/>
          </w:tcPr>
          <w:p>
            <w:pPr>
              <w:spacing w:after="0"/>
            </w:pPr>
            <w:r>
              <w:t>Which systems should be expansion-ready from the beginning?</w:t>
            </w:r>
          </w:p>
        </w:tc>
      </w:tr>
    </w:tbl>
    <w:p>
      <w:pPr>
        <w:pStyle w:val="Heading2"/>
      </w:pPr>
      <w:r>
        <w:t>An Engineering-Led Approach</w:t>
      </w:r>
    </w:p>
    <w:p>
      <w:r>
        <w:rPr>
          <w:i w:val="0"/>
        </w:rPr>
        <w:t>AAC offers a promising direction for modern construction, but a successful manufacturing investment requires the right combination of market potential, capacity, raw materials, process design, automation, product quality, energy management and distribution.</w:t>
      </w:r>
    </w:p>
    <w:p>
      <w:r>
        <w:rPr>
          <w:i w:val="0"/>
        </w:rPr>
        <w:t>Laxmi En-Fab supports AAC project planning through an engineering-led discussion covering the proposed market, plant location, capacity, process requirements, automation level and expansion strategy.</w:t>
      </w:r>
    </w:p>
    <w:tbl>
      <w:tblPr>
        <w:tblW w:type="auto" w:w="0"/>
        <w:jc w:val="center"/>
        <w:tblLook w:firstColumn="1" w:firstRow="1" w:lastColumn="0" w:lastRow="0" w:noHBand="0" w:noVBand="1" w:val="04A0"/>
      </w:tblPr>
      <w:tblGrid>
        <w:gridCol w:w="10282"/>
      </w:tblGrid>
      <w:tr>
        <w:tc>
          <w:tcPr>
            <w:tcW w:type="dxa" w:w="10282"/>
            <w:shd w:fill="15284B"/>
            <w:tcMar>
              <w:top w:w="100" w:type="dxa"/>
              <w:start w:w="140" w:type="dxa"/>
              <w:bottom w:w="100" w:type="dxa"/>
              <w:end w:w="140" w:type="dxa"/>
            </w:tcMar>
          </w:tcPr>
          <w:p>
            <w:pPr>
              <w:spacing w:after="40"/>
              <w:jc w:val="center"/>
            </w:pPr>
            <w:r>
              <w:rPr>
                <w:b/>
                <w:color w:val="FFFFFF"/>
                <w:sz w:val="22"/>
              </w:rPr>
              <w:t>REQUEST AN AAC MARKET AND PLANT FEASIBILITY DISCUSSION</w:t>
            </w:r>
          </w:p>
          <w:p>
            <w:pPr>
              <w:spacing w:after="0"/>
              <w:jc w:val="center"/>
            </w:pPr>
            <w:r>
              <w:rPr>
                <w:color w:val="FFFFFF"/>
                <w:sz w:val="17"/>
              </w:rPr>
              <w:t>Share your proposed location, expected capacity, available raw materials and current project stage.</w:t>
            </w:r>
          </w:p>
        </w:tc>
      </w:tr>
    </w:tbl>
    <w:p>
      <w:pPr>
        <w:pStyle w:val="Heading2"/>
      </w:pPr>
      <w:r>
        <w:t>Frequently Asked Questions</w:t>
      </w:r>
    </w:p>
    <w:p>
      <w:pPr>
        <w:spacing w:after="34"/>
      </w:pPr>
      <w:r>
        <w:rPr>
          <w:b/>
          <w:color w:val="15284B"/>
        </w:rPr>
        <w:t xml:space="preserve">Is AAC a good future business in India? </w:t>
      </w:r>
      <w:r>
        <w:t>It may be viable in suitable markets, but the decision depends on regional demand, competing capacity, freight, raw materials, utilisation, quality and working capital.</w:t>
      </w:r>
    </w:p>
    <w:p>
      <w:pPr>
        <w:spacing w:after="34"/>
      </w:pPr>
      <w:r>
        <w:rPr>
          <w:b/>
          <w:color w:val="15284B"/>
        </w:rPr>
        <w:t xml:space="preserve">What capacity should a new plant have? </w:t>
      </w:r>
      <w:r>
        <w:t>There is no universal capacity. Select it after evaluating sales, ramp-up, shifts, maintenance, utilities and expansion.</w:t>
      </w:r>
    </w:p>
    <w:p>
      <w:pPr>
        <w:spacing w:after="34"/>
      </w:pPr>
      <w:r>
        <w:rPr>
          <w:b/>
          <w:color w:val="15284B"/>
        </w:rPr>
        <w:t xml:space="preserve">Is full automation always better? </w:t>
      </w:r>
      <w:r>
        <w:t>No. Automation should solve defined labour, safety, consistency or capacity requirements.</w:t>
      </w:r>
    </w:p>
    <w:p>
      <w:pPr>
        <w:spacing w:after="34"/>
      </w:pPr>
      <w:r>
        <w:rPr>
          <w:b/>
          <w:color w:val="15284B"/>
        </w:rPr>
        <w:t xml:space="preserve">What is the first investment step? </w:t>
      </w:r>
      <w:r>
        <w:t>Assess location-specific demand, competing supply, freight radius, raw materials, product mix and realistic utilisation.</w:t>
      </w:r>
    </w:p>
    <w:sectPr w:rsidR="00FC693F" w:rsidRPr="0006063C" w:rsidSect="00034616">
      <w:headerReference w:type="default" r:id="rId9"/>
      <w:footerReference w:type="default" r:id="rId10"/>
      <w:pgSz w:w="12240" w:h="15840"/>
      <w:pgMar w:top="835" w:right="979" w:bottom="79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Future of AAC Blocks in India</w:t>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5"/>
      </w:rPr>
      <w:t>LAXMI EN-FAB PVT. LTD.  |  AAC INVESTOR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2024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5284B"/>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767A8"/>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528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ind w:left="346" w:hanging="173"/>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ind w:left="346" w:hanging="173"/>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2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of AAC Blocks in India: Market and Plant Outlook</dc:title>
  <dc:subject>Publication-ready website content for Laxmi En-Fab Pvt. Ltd.</dc:subject>
  <dc:creator>Laxmi En-Fab Pvt. Ltd.</dc:creator>
  <cp:keywords>Future of AAC blocks in India, AAC plant investment, AAC manufacturing technology</cp:keywords>
  <dc:description>generated by python-docx</dc:description>
  <cp:lastModifiedBy/>
  <cp:revision>1</cp:revision>
  <dcterms:created xsi:type="dcterms:W3CDTF">2013-12-23T23:15:00Z</dcterms:created>
  <dcterms:modified xsi:type="dcterms:W3CDTF">2013-12-23T23:15:00Z</dcterms:modified>
  <cp:category/>
</cp:coreProperties>
</file>