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Aptos" w:hAnsi="Aptos"/>
          <w:b/>
          <w:i w:val="0"/>
          <w:color w:val="B3202A"/>
          <w:sz w:val="20"/>
        </w:rPr>
        <w:t>COMMERCIAL GUIDE</w:t>
      </w:r>
    </w:p>
    <w:p>
      <w:pPr>
        <w:spacing w:after="100"/>
      </w:pPr>
      <w:r>
        <w:rPr>
          <w:rFonts w:ascii="Aptos" w:hAnsi="Aptos"/>
          <w:b/>
          <w:i w:val="0"/>
          <w:color w:val="132B46"/>
          <w:sz w:val="56"/>
        </w:rPr>
        <w:t>AAC Market in India</w:t>
      </w:r>
    </w:p>
    <w:p>
      <w:pPr>
        <w:spacing w:after="260"/>
      </w:pPr>
      <w:r>
        <w:rPr>
          <w:rFonts w:ascii="Aptos" w:hAnsi="Aptos"/>
          <w:b/>
          <w:i w:val="0"/>
          <w:color w:val="285C88"/>
          <w:sz w:val="32"/>
        </w:rPr>
        <w:t>Demand, Risks and Plant Feasibility</w:t>
      </w:r>
    </w:p>
    <w:p>
      <w:pPr>
        <w:spacing w:after="140"/>
      </w:pPr>
      <w:r>
        <w:rPr>
          <w:rFonts w:ascii="Aptos" w:hAnsi="Aptos"/>
          <w:b w:val="0"/>
          <w:i w:val="0"/>
        </w:rPr>
        <w:t>India’s construction sector offers meaningful opportunities for AAC blocks and reinforced AAC wall panels. However, national market growth alone cannot prove that a proposed AAC manufacturing plant will be commercially successful.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B3202A"/>
          <w:left w:val="single" w:sz="10" w:color="B3202A"/>
          <w:bottom w:val="single" w:sz="10" w:color="B3202A"/>
          <w:right w:val="single" w:sz="10" w:color="B3202A"/>
          <w:insideH w:val="single" w:sz="10" w:color="B3202A"/>
          <w:insideV w:val="single" w:sz="10" w:color="B3202A"/>
        </w:tblBorders>
      </w:tblPr>
      <w:tblGrid>
        <w:gridCol w:w="9576"/>
      </w:tblGrid>
      <w:tr>
        <w:trPr>
          <w:cantSplit/>
        </w:trPr>
        <w:tc>
          <w:tcPr>
            <w:tcW w:type="dxa" w:w="9576"/>
            <w:shd w:fill="F8EC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3202A"/>
              </w:rPr>
              <w:t xml:space="preserve">THE REAL INVESTMENT QUESTION  </w:t>
            </w:r>
            <w:r>
              <w:rPr>
                <w:rFonts w:ascii="Aptos" w:hAnsi="Aptos"/>
                <w:b w:val="0"/>
                <w:i w:val="0"/>
              </w:rPr>
              <w:t>Can demand within an economical sales radius support the proposed plant capacity, product mix and operating cost?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Aptos" w:hAnsi="Aptos"/>
          <w:b/>
          <w:i w:val="0"/>
          <w:color w:val="132B46"/>
        </w:rPr>
        <w:t>A dependable investment decision requires regional market analysis—not only general industry forecasts.</w:t>
      </w:r>
    </w:p>
    <w:p>
      <w:pPr>
        <w:pStyle w:val="Heading1"/>
      </w:pPr>
      <w:r>
        <w:t>SCROLL 1  |  Understanding the Real AAC Market Opportunity</w:t>
      </w:r>
    </w:p>
    <w:p>
      <w:pPr>
        <w:pStyle w:val="Heading2"/>
      </w:pPr>
      <w:r>
        <w:t>What Is Driving AAC Demand in India?</w:t>
      </w:r>
    </w:p>
    <w:p>
      <w:r>
        <w:t>AAC demand is influenced by the construction industry’s need for lightweight walling materials, faster project execution, improved dimensional accuracy and reduced dependence on traditional masonry practices.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High-rise residential projects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Affordable and mass housing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Commercial buildings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Hospitals and educational institutions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Industrial buildings and warehouses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Logistics parks and data centres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Government and institutional projects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Precast and modular construction</w:t>
      </w:r>
    </w:p>
    <w:p>
      <w:r>
        <w:t>These demand drivers are encouraging wider consideration of AAC products. However, adoption varies significantly between states, cities and construction segments.</w:t>
      </w:r>
      <w:r>
        <w:rPr>
          <w:rFonts w:ascii="Aptos" w:hAnsi="Aptos"/>
          <w:b/>
          <w:i w:val="0"/>
          <w:color w:val="B3202A"/>
        </w:rPr>
        <w:t xml:space="preserve"> A strong national outlook does not mean every location can support a new AAC plant.</w:t>
      </w:r>
    </w:p>
    <w:p>
      <w:pPr>
        <w:pStyle w:val="Heading2"/>
      </w:pPr>
      <w:r>
        <w:t>Why Published Market Forecasts Must Be Used Carefully</w:t>
      </w:r>
    </w:p>
    <w:p>
      <w:r>
        <w:t>Published AAC market estimates vary because research reports may use different product definitions, geographic boundaries, base years, revenue calculations, forecast periods and data-collection methods.</w:t>
      </w:r>
    </w:p>
    <w:p>
      <w:r>
        <w:t>Some reports measure AAC blocks alone, while others include panels, lintels and additional AAC products. Investors should therefore treat third-party forecasts as directional indicators—not as a substitute for a regional feasibility study.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285C88"/>
          <w:left w:val="single" w:sz="10" w:color="285C88"/>
          <w:bottom w:val="single" w:sz="10" w:color="285C88"/>
          <w:right w:val="single" w:sz="10" w:color="285C88"/>
          <w:insideH w:val="single" w:sz="10" w:color="285C88"/>
          <w:insideV w:val="single" w:sz="10" w:color="285C88"/>
        </w:tblBorders>
      </w:tblPr>
      <w:tblGrid>
        <w:gridCol w:w="9576"/>
      </w:tblGrid>
      <w:tr>
        <w:trPr>
          <w:cantSplit/>
        </w:trPr>
        <w:tc>
          <w:tcPr>
            <w:tcW w:type="dxa" w:w="9576"/>
            <w:shd w:fill="EEF3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5C88"/>
              </w:rPr>
              <w:t xml:space="preserve">INVESTOR TAKEAWAY  </w:t>
            </w:r>
            <w:r>
              <w:rPr>
                <w:rFonts w:ascii="Aptos" w:hAnsi="Aptos"/>
                <w:b w:val="0"/>
                <w:i w:val="0"/>
              </w:rPr>
              <w:t>Market growth creates opportunity, but local demand, competition, freight and execution determine whether that opportunity can become a sustainable business.</w:t>
            </w:r>
          </w:p>
        </w:tc>
      </w:tr>
    </w:tbl>
    <w:p>
      <w:pPr>
        <w:spacing w:after="0"/>
      </w:pPr>
    </w:p>
    <w:p>
      <w:pPr>
        <w:pStyle w:val="Heading2"/>
      </w:pPr>
      <w:r>
        <w:t>What Can Limit AAC Adoption?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High freight cost over longer distances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Existing AAC capacity within the target market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Low awareness among contractors in developing territories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Preference for clay bricks, fly-ash bricks or concrete blocks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Inconsistent AAC quality affecting customer confidence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Price-based competition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Dealer margins and customer credit periods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Seasonal changes in construction activity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Limited demand for specialised products in some regions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Time required to build dealer and institutional sales networks</w:t>
      </w:r>
    </w:p>
    <w:p>
      <w:r>
        <w:t>Ignoring these factors can lead to an oversized plant, low utilisation and pressure on selling prices.</w:t>
      </w:r>
    </w:p>
    <w:p>
      <w:pPr>
        <w:pStyle w:val="Heading1"/>
      </w:pPr>
      <w:r>
        <w:t>SCROLL 2  |  How Investors Should Evaluate Regional Demand</w:t>
      </w:r>
    </w:p>
    <w:p>
      <w:pPr>
        <w:pStyle w:val="Heading2"/>
      </w:pPr>
      <w:r>
        <w:t>How to Assess AAC Demand Before Selecting Plant Capacity</w:t>
      </w:r>
    </w:p>
    <w:p>
      <w:r>
        <w:t>A practical AAC market assessment should examine the following eight areas.</w:t>
      </w:r>
    </w:p>
    <w:p>
      <w:pPr>
        <w:pStyle w:val="ListNumber"/>
        <w:spacing w:after="60"/>
        <w:ind w:left="403" w:hanging="317"/>
      </w:pPr>
      <w:r>
        <w:rPr>
          <w:rFonts w:ascii="Aptos" w:hAnsi="Aptos"/>
          <w:b/>
          <w:i w:val="0"/>
          <w:color w:val="132B46"/>
        </w:rPr>
        <w:t xml:space="preserve">Define the target sales territory. </w:t>
      </w:r>
      <w:r>
        <w:rPr>
          <w:rFonts w:ascii="Aptos" w:hAnsi="Aptos"/>
          <w:b w:val="0"/>
          <w:i w:val="0"/>
        </w:rPr>
        <w:t>Identify cities, districts and project clusters that can be served economically. Test freight per cubic metre, road connectivity, delivery time, vehicle availability, local selling price and competitor locations.</w:t>
      </w:r>
    </w:p>
    <w:p>
      <w:pPr>
        <w:pStyle w:val="ListNumber"/>
        <w:spacing w:after="60"/>
        <w:ind w:left="403" w:hanging="317"/>
      </w:pPr>
      <w:r>
        <w:rPr>
          <w:rFonts w:ascii="Aptos" w:hAnsi="Aptos"/>
          <w:b/>
          <w:i w:val="0"/>
          <w:color w:val="132B46"/>
        </w:rPr>
        <w:t xml:space="preserve">Estimate existing AAC consumption. </w:t>
      </w:r>
      <w:r>
        <w:rPr>
          <w:rFonts w:ascii="Aptos" w:hAnsi="Aptos"/>
          <w:b w:val="0"/>
          <w:i w:val="0"/>
        </w:rPr>
        <w:t>Validate consumption through dealers, developers, contractors, architects, institutional buyers and modular-construction companies. Separate current consumption from announced demand.</w:t>
      </w:r>
    </w:p>
    <w:p>
      <w:pPr>
        <w:pStyle w:val="ListNumber"/>
        <w:spacing w:after="60"/>
        <w:ind w:left="403" w:hanging="317"/>
      </w:pPr>
      <w:r>
        <w:rPr>
          <w:rFonts w:ascii="Aptos" w:hAnsi="Aptos"/>
          <w:b/>
          <w:i w:val="0"/>
          <w:color w:val="132B46"/>
        </w:rPr>
        <w:t xml:space="preserve">Map competing supply. </w:t>
      </w:r>
      <w:r>
        <w:rPr>
          <w:rFonts w:ascii="Aptos" w:hAnsi="Aptos"/>
          <w:b w:val="0"/>
          <w:i w:val="0"/>
        </w:rPr>
        <w:t>Evaluate installed and operating capacity, utilisation, quality, price, dealer strength, credit, delivery reliability and planned expansion—not only the number of plants.</w:t>
      </w:r>
    </w:p>
    <w:p>
      <w:pPr>
        <w:pStyle w:val="ListNumber"/>
        <w:spacing w:after="60"/>
        <w:ind w:left="403" w:hanging="317"/>
      </w:pPr>
      <w:r>
        <w:rPr>
          <w:rFonts w:ascii="Aptos" w:hAnsi="Aptos"/>
          <w:b/>
          <w:i w:val="0"/>
          <w:color w:val="132B46"/>
        </w:rPr>
        <w:t xml:space="preserve">Study alternative walling materials. </w:t>
      </w:r>
      <w:r>
        <w:rPr>
          <w:rFonts w:ascii="Aptos" w:hAnsi="Aptos"/>
          <w:b w:val="0"/>
          <w:i w:val="0"/>
        </w:rPr>
        <w:t>Compare AAC with clay bricks, fly-ash bricks and concrete blocks based on local availability, price, familiarity and acceptance.</w:t>
      </w:r>
    </w:p>
    <w:p>
      <w:pPr>
        <w:pStyle w:val="ListNumber"/>
        <w:spacing w:after="60"/>
        <w:ind w:left="403" w:hanging="317"/>
      </w:pPr>
      <w:r>
        <w:rPr>
          <w:rFonts w:ascii="Aptos" w:hAnsi="Aptos"/>
          <w:b/>
          <w:i w:val="0"/>
          <w:color w:val="132B46"/>
        </w:rPr>
        <w:t xml:space="preserve">Verify the required product mix. </w:t>
      </w:r>
      <w:r>
        <w:rPr>
          <w:rFonts w:ascii="Aptos" w:hAnsi="Aptos"/>
          <w:b w:val="0"/>
          <w:i w:val="0"/>
        </w:rPr>
        <w:t>Confirm common sizes, density and strength requirements, project-specific products, panels and lintels before finalising machinery.</w:t>
      </w:r>
    </w:p>
    <w:p>
      <w:pPr>
        <w:pStyle w:val="ListNumber"/>
        <w:spacing w:after="60"/>
        <w:ind w:left="403" w:hanging="317"/>
      </w:pPr>
      <w:r>
        <w:rPr>
          <w:rFonts w:ascii="Aptos" w:hAnsi="Aptos"/>
          <w:b/>
          <w:i w:val="0"/>
          <w:color w:val="132B46"/>
        </w:rPr>
        <w:t xml:space="preserve">Test price, freight and credit sensitivity. </w:t>
      </w:r>
      <w:r>
        <w:rPr>
          <w:rFonts w:ascii="Aptos" w:hAnsi="Aptos"/>
          <w:b w:val="0"/>
          <w:i w:val="0"/>
        </w:rPr>
        <w:t>Measure how delivered price, dealer margin, credit, utilisation and competitive pricing affect commercial viability.</w:t>
      </w:r>
    </w:p>
    <w:p>
      <w:pPr>
        <w:pStyle w:val="ListNumber"/>
        <w:spacing w:after="60"/>
        <w:ind w:left="403" w:hanging="317"/>
      </w:pPr>
      <w:r>
        <w:rPr>
          <w:rFonts w:ascii="Aptos" w:hAnsi="Aptos"/>
          <w:b/>
          <w:i w:val="0"/>
          <w:color w:val="132B46"/>
        </w:rPr>
        <w:t xml:space="preserve">Prepare multiple demand scenarios. </w:t>
      </w:r>
      <w:r>
        <w:rPr>
          <w:rFonts w:ascii="Aptos" w:hAnsi="Aptos"/>
          <w:b w:val="0"/>
          <w:i w:val="0"/>
        </w:rPr>
        <w:t>Build conservative, base and growth cases. Do not select capacity only from the most optimistic case.</w:t>
      </w:r>
    </w:p>
    <w:p>
      <w:pPr>
        <w:pStyle w:val="ListNumber"/>
        <w:spacing w:after="60"/>
        <w:ind w:left="403" w:hanging="317"/>
      </w:pPr>
      <w:r>
        <w:rPr>
          <w:rFonts w:ascii="Aptos" w:hAnsi="Aptos"/>
          <w:b/>
          <w:i w:val="0"/>
          <w:color w:val="132B46"/>
        </w:rPr>
        <w:t xml:space="preserve">Match saleable demand with capacity. </w:t>
      </w:r>
      <w:r>
        <w:rPr>
          <w:rFonts w:ascii="Aptos" w:hAnsi="Aptos"/>
          <w:b w:val="0"/>
          <w:i w:val="0"/>
        </w:rPr>
        <w:t>Compare achievable monthly sales with the proposed plant’s rated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2232"/>
        <w:gridCol w:w="7344"/>
      </w:tblGrid>
      <w:tr>
        <w:trPr>
          <w:tblHeader w:val="true"/>
        </w:trPr>
        <w:tc>
          <w:tcPr>
            <w:tcW w:type="dxa" w:w="2232"/>
            <w:shd w:fill="132B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7344"/>
            <w:shd w:fill="132B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Conservative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Tests viability under slower market development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Base case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Reflects reasonably supported demand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Growth case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Evaluates expansion if adoption increases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B3202A"/>
          <w:left w:val="single" w:sz="10" w:color="B3202A"/>
          <w:bottom w:val="single" w:sz="10" w:color="B3202A"/>
          <w:right w:val="single" w:sz="10" w:color="B3202A"/>
          <w:insideH w:val="single" w:sz="10" w:color="B3202A"/>
          <w:insideV w:val="single" w:sz="10" w:color="B3202A"/>
        </w:tblBorders>
      </w:tblPr>
      <w:tblGrid>
        <w:gridCol w:w="9576"/>
      </w:tblGrid>
      <w:tr>
        <w:trPr>
          <w:cantSplit/>
        </w:trPr>
        <w:tc>
          <w:tcPr>
            <w:tcW w:type="dxa" w:w="9576"/>
            <w:shd w:fill="F8EC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3202A"/>
              </w:rPr>
              <w:t xml:space="preserve">CAPACITY RELATIONSHIP  </w:t>
            </w:r>
            <w:r>
              <w:rPr>
                <w:rFonts w:ascii="Aptos" w:hAnsi="Aptos"/>
                <w:b w:val="0"/>
                <w:i w:val="0"/>
              </w:rPr>
              <w:t>Required annual sales = Rated annual capacity × Target capacity utilisation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285C88"/>
          <w:left w:val="single" w:sz="10" w:color="285C88"/>
          <w:bottom w:val="single" w:sz="10" w:color="285C88"/>
          <w:right w:val="single" w:sz="10" w:color="285C88"/>
          <w:insideH w:val="single" w:sz="10" w:color="285C88"/>
          <w:insideV w:val="single" w:sz="10" w:color="285C88"/>
        </w:tblBorders>
      </w:tblPr>
      <w:tblGrid>
        <w:gridCol w:w="9576"/>
      </w:tblGrid>
      <w:tr>
        <w:trPr>
          <w:cantSplit/>
        </w:trPr>
        <w:tc>
          <w:tcPr>
            <w:tcW w:type="dxa" w:w="9576"/>
            <w:shd w:fill="EEF3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85C88"/>
              </w:rPr>
              <w:t xml:space="preserve">ENGINEERING INSIGHT  </w:t>
            </w:r>
            <w:r>
              <w:rPr>
                <w:rFonts w:ascii="Aptos" w:hAnsi="Aptos"/>
                <w:b w:val="0"/>
                <w:i w:val="0"/>
              </w:rPr>
              <w:t>A plant with expansion-ready engineering may be commercially safer than installing excessive initial capacity based on an uncertain forecast.</w:t>
            </w:r>
          </w:p>
        </w:tc>
      </w:tr>
    </w:tbl>
    <w:p>
      <w:pPr>
        <w:spacing w:after="0"/>
      </w:pPr>
    </w:p>
    <w:p>
      <w:pPr>
        <w:pStyle w:val="Heading1"/>
      </w:pPr>
      <w:r>
        <w:t>SCROLL 3  |  Product Strategy, Plant Success and Next Decision</w:t>
      </w:r>
    </w:p>
    <w:p>
      <w:pPr>
        <w:pStyle w:val="Heading2"/>
      </w:pPr>
      <w:r>
        <w:t>AAC Blocks or AAC Panels: Which Market Should You Target?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1944"/>
        <w:gridCol w:w="3672"/>
        <w:gridCol w:w="3960"/>
      </w:tblGrid>
      <w:tr>
        <w:trPr>
          <w:tblHeader w:val="true"/>
        </w:trPr>
        <w:tc>
          <w:tcPr>
            <w:tcW w:type="dxa" w:w="1944"/>
            <w:shd w:fill="132B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 factor</w:t>
            </w:r>
          </w:p>
        </w:tc>
        <w:tc>
          <w:tcPr>
            <w:tcW w:type="dxa" w:w="3672"/>
            <w:shd w:fill="132B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AAC blocks</w:t>
            </w:r>
          </w:p>
        </w:tc>
        <w:tc>
          <w:tcPr>
            <w:tcW w:type="dxa" w:w="3960"/>
            <w:shd w:fill="132B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Reinforced AAC wall panels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Typical market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General masonry and partition walls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Project-led and engineered wall systems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Sales channel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Dealers, contractors and project sales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Developers, consultants and institutional projects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Market development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Usually supported by established masonry demand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May require specification-led technical selling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Product handling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Conventional block distribution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Specialised handling, transport and erection planning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Plant implications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Block-production and packing configuration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Reinforcement, panel production and handling systems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Investment decision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Based on regional block consumption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Based on verified project and panel demand</w:t>
            </w:r>
          </w:p>
        </w:tc>
      </w:tr>
    </w:tbl>
    <w:p>
      <w:pPr>
        <w:spacing w:after="0"/>
      </w:pPr>
    </w:p>
    <w:p>
      <w:r>
        <w:t>Panels may create an additional market opportunity, but their suitability must be verified regionally. A block-and-panel plant should not be selected merely because panels appear commercially attractive in general industry forecasts.</w:t>
      </w:r>
    </w:p>
    <w:p>
      <w:pPr>
        <w:pStyle w:val="Heading2"/>
      </w:pPr>
      <w:r>
        <w:t>Why Market Demand Alone Does Not Guarantee Plant Success</w:t>
      </w:r>
    </w:p>
    <w:p>
      <w:r>
        <w:t>Even in a growing market, AAC plant performance depends on the relationship between market demand and engineering efficiency.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Raw material availability and consistency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Production cost per cubic metre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Steam and energy consumption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Autoclave utilisation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Plant reliability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Appropriate automation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Product quality consistency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Maintenance capability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Distribution logistics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Regional market penetration</w:t>
      </w:r>
    </w:p>
    <w:p>
      <w:r>
        <w:t>A plant designed only around rated production capacity may become commercially constrained if its product mix, operating cost or expansion strategy does not match the market.</w:t>
      </w:r>
    </w:p>
    <w:p>
      <w:pPr>
        <w:pStyle w:val="Heading2"/>
      </w:pPr>
      <w:r>
        <w:t>Common Investor Mistakes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Selecting capacity from a national CAGR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Counting announced demand as confirmed demand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Using installed competitor capacity as actual production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Ignoring freight and customer credit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Assuming maximum output will be sold from the first year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Selecting full automation without evaluating local operating capability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Adding a panel line without verified project demand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Underestimating sales-network development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Finalising machinery before testing raw materials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Treating a machinery quotation as a complete feasibility study</w:t>
      </w:r>
    </w:p>
    <w:p>
      <w:pPr>
        <w:pStyle w:val="Heading2"/>
      </w:pPr>
      <w:r>
        <w:t>What Should Be Verified Before Investing?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Target sales territory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Current and potential AAC demand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Competing operating capacity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Expected selling price and credit conditions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Delivered freight economics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Required block and panel product mix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Raw material suitability and availability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Conservative sales ramp-up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Proposed plant utilisation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</w:rPr>
        <w:t>Future expansion requirements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the AAC market growing in India?</w:t>
      </w:r>
    </w:p>
    <w:p>
      <w:r>
        <w:t>India has several long-term demand drivers for AAC, including urban construction, industrial development and demand for efficient walling systems. Actual opportunity varies by territory and must be confirmed through local market research.</w:t>
      </w:r>
    </w:p>
    <w:p>
      <w:pPr>
        <w:pStyle w:val="Heading3"/>
      </w:pPr>
      <w:r>
        <w:t>Does national AAC growth guarantee plant profitability?</w:t>
      </w:r>
    </w:p>
    <w:p>
      <w:r>
        <w:t>No. Profitability depends on regional demand, selling price, freight, utilisation, product quality, raw materials, operating efficiency, working capital and sales execution.</w:t>
      </w:r>
    </w:p>
    <w:p>
      <w:pPr>
        <w:pStyle w:val="Heading3"/>
      </w:pPr>
      <w:r>
        <w:t>How should AAC plant capacity be selected?</w:t>
      </w:r>
    </w:p>
    <w:p>
      <w:r>
        <w:t>Capacity should be matched with achievable sales within the target territory. Investors should compare conservative, base and growth demand scenarios before finalising initial capacity.</w:t>
      </w:r>
    </w:p>
    <w:p>
      <w:pPr>
        <w:pStyle w:val="Heading3"/>
      </w:pPr>
      <w:r>
        <w:t>What is the economical sales radius for AAC blocks?</w:t>
      </w:r>
    </w:p>
    <w:p>
      <w:r>
        <w:t>There is no universal distance. It depends on freight rates, selling price, road connectivity, vehicle utilisation, competition and the delivered price of alternatives.</w:t>
      </w:r>
    </w:p>
    <w:p>
      <w:pPr>
        <w:pStyle w:val="Heading3"/>
      </w:pPr>
      <w:r>
        <w:t>Should a new plant manufacture both blocks and panels?</w:t>
      </w:r>
    </w:p>
    <w:p>
      <w:r>
        <w:t>Only when panel demand, technical selling capability, handling requirements and project opportunities have been verified. Provision for future panel production may be considered where immediate demand is uncertain.</w:t>
      </w:r>
    </w:p>
    <w:p>
      <w:pPr>
        <w:pStyle w:val="Heading3"/>
      </w:pPr>
      <w:r>
        <w:t>What is the biggest risk in an AAC plant investment?</w:t>
      </w:r>
    </w:p>
    <w:p>
      <w:r>
        <w:t>One significant risk is installing capacity based on optimistic forecasts without validating achievable regional sales, competition and operating economics.</w:t>
      </w:r>
    </w:p>
    <w:p>
      <w:pPr>
        <w:pStyle w:val="Heading1"/>
      </w:pPr>
      <w:r>
        <w:t>Plan the Market Before Planning the Machinery</w:t>
      </w:r>
    </w:p>
    <w:p>
      <w:r>
        <w:t>AAC plant planning should begin with the market the plant can realistically serve—not with machinery capacity alone.</w:t>
      </w:r>
    </w:p>
    <w:p>
      <w:r>
        <w:t>Laxmi En-Fab Pvt. Ltd. can support an initial technical discussion covering: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Proposed plant location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Capacity planning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Blocks-versus-panels strategy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Raw material considerations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Automation approach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Expansion planning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b w:val="0"/>
          <w:i w:val="0"/>
        </w:rPr>
        <w:t>Complete AAC plant engineering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B3202A"/>
          <w:left w:val="single" w:sz="10" w:color="B3202A"/>
          <w:bottom w:val="single" w:sz="10" w:color="B3202A"/>
          <w:right w:val="single" w:sz="10" w:color="B3202A"/>
          <w:insideH w:val="single" w:sz="10" w:color="B3202A"/>
          <w:insideV w:val="single" w:sz="10" w:color="B3202A"/>
        </w:tblBorders>
      </w:tblPr>
      <w:tblGrid>
        <w:gridCol w:w="9576"/>
      </w:tblGrid>
      <w:tr>
        <w:trPr>
          <w:cantSplit/>
        </w:trPr>
        <w:tc>
          <w:tcPr>
            <w:tcW w:type="dxa" w:w="9576"/>
            <w:shd w:fill="F8EC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3202A"/>
              </w:rPr>
              <w:t xml:space="preserve">REQUEST A PRELIMINARY AAC MARKET &amp; CAPACITY REVIEW  </w:t>
            </w:r>
            <w:r>
              <w:rPr>
                <w:rFonts w:ascii="Aptos" w:hAnsi="Aptos"/>
                <w:b w:val="0"/>
                <w:i w:val="0"/>
              </w:rPr>
              <w:t>Share your proposed location, tentative capacity and available raw materials. The discussion can help identify the commercial and engineering questions that should be verified before plant configuration begins.</w:t>
            </w:r>
          </w:p>
        </w:tc>
      </w:tr>
    </w:tbl>
    <w:p>
      <w:pPr>
        <w:spacing w:after="0"/>
      </w:pPr>
    </w:p>
    <w:p>
      <w:pPr>
        <w:spacing w:before="180" w:after="20"/>
        <w:jc w:val="center"/>
      </w:pPr>
      <w:r>
        <w:rPr>
          <w:rFonts w:ascii="Aptos" w:hAnsi="Aptos"/>
          <w:b/>
          <w:i w:val="0"/>
          <w:color w:val="132B46"/>
          <w:sz w:val="20"/>
        </w:rPr>
        <w:t>PRIMARY CTA  •  Request Market &amp; Capacity Review</w:t>
      </w:r>
    </w:p>
    <w:p>
      <w:pPr>
        <w:jc w:val="center"/>
      </w:pPr>
      <w:r>
        <w:rPr>
          <w:rFonts w:ascii="Aptos" w:hAnsi="Aptos"/>
          <w:b/>
          <w:i w:val="0"/>
          <w:color w:val="285C88"/>
          <w:sz w:val="20"/>
        </w:rPr>
        <w:t>SECONDARY CTA  •  Download AAC Market Survey Checklist</w:t>
      </w:r>
    </w:p>
    <w:p>
      <w:pPr>
        <w:pStyle w:val="Heading1"/>
      </w:pPr>
      <w:r>
        <w:t>Website Publishing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2232"/>
        <w:gridCol w:w="7344"/>
      </w:tblGrid>
      <w:tr>
        <w:trPr>
          <w:tblHeader w:val="true"/>
        </w:trPr>
        <w:tc>
          <w:tcPr>
            <w:tcW w:type="dxa" w:w="2232"/>
            <w:shd w:fill="132B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344"/>
            <w:shd w:fill="132B4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Recommended content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SEO title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AAC Market in India: Demand &amp; Investor Guide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Meta description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Assess India’s AAC market, regional competition, logistics, product mix and capacity considerations before investing in an AAC manufacturing plant.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Suggested URL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/aac-market-india/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Primary CTA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Request Market &amp; Capacity Review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Secondary CTA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Download AAC Market Survey Checklist</w:t>
            </w:r>
          </w:p>
        </w:tc>
      </w:tr>
    </w:tbl>
    <w:p>
      <w:pPr>
        <w:spacing w:after="0"/>
      </w:pPr>
    </w:p>
    <w:p>
      <w:r>
        <w:rPr>
          <w:i/>
          <w:color w:val="5D6874"/>
        </w:rPr>
        <w:t>Editorial note: Unsupported market-size, plant-count and CAGR figures have intentionally been excluded. Any future numerical claim should show its source, base year, geographic scope and product definition.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6874"/>
        <w:sz w:val="16"/>
      </w:rPr>
      <w:t>AAC Market in India  •  Commercial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132B46"/>
        <w:sz w:val="17"/>
      </w:rPr>
      <w:t>LAXMI EN-FAB PVT. LTD.</w:t>
    </w:r>
    <w:r>
      <w:rPr>
        <w:rFonts w:ascii="Aptos" w:hAnsi="Aptos"/>
        <w:b w:val="0"/>
        <w:i w:val="0"/>
        <w:color w:val="5D6874"/>
        <w:sz w:val="17"/>
      </w:rPr>
      <w:t xml:space="preserve">   |   AAC INVESTOR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E27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C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Market in India: Demand, Risks and Plant Feasibility</dc:title>
  <dc:subject>Commercial guide for AAC plant investors in India</dc:subject>
  <dc:creator>Laxmi En-Fab Pvt. Ltd.</dc:creator>
  <cp:keywords>AAC market in India, AAC plant investment, AAC plant feasibility, AAC blocks, AAC panels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