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80"/>
      </w:pPr>
      <w:r>
        <w:rPr>
          <w:rFonts w:ascii="Arial" w:hAnsi="Arial"/>
          <w:b/>
          <w:color w:val="0C4F80"/>
          <w:sz w:val="18"/>
        </w:rPr>
        <w:t>COMMERCIAL GUIDE  •  INDIA</w:t>
      </w:r>
    </w:p>
    <w:p>
      <w:pPr>
        <w:spacing w:after="80"/>
      </w:pPr>
      <w:r>
        <w:rPr>
          <w:rFonts w:ascii="Arial" w:hAnsi="Arial"/>
          <w:b/>
          <w:color w:val="0B1727"/>
          <w:sz w:val="56"/>
        </w:rPr>
        <w:t>Is the AAC Block Business</w:t>
      </w:r>
    </w:p>
    <w:p>
      <w:pPr>
        <w:spacing w:after="280"/>
      </w:pPr>
      <w:r>
        <w:rPr>
          <w:rFonts w:ascii="Arial" w:hAnsi="Arial"/>
          <w:b/>
          <w:color w:val="0C4F80"/>
          <w:sz w:val="56"/>
        </w:rPr>
        <w:t>Profitable in India?</w:t>
      </w:r>
    </w:p>
    <w:p>
      <w:pPr>
        <w:spacing w:after="360"/>
      </w:pPr>
      <w:r>
        <w:rPr>
          <w:rFonts w:ascii="Arial" w:hAnsi="Arial"/>
          <w:color w:val="5E6874"/>
          <w:sz w:val="26"/>
        </w:rPr>
        <w:t>A practical framework for evaluating demand, capacity, cost, cash flow and investment risk before selecting an AAC plant.</w:t>
      </w:r>
    </w:p>
    <w:tbl>
      <w:tblPr>
        <w:tblW w:type="auto" w:w="0"/>
        <w:jc w:val="center"/>
        <w:tblLayout w:type="fixed"/>
        <w:tblLook w:firstColumn="1" w:firstRow="1" w:lastColumn="0" w:lastRow="0" w:noHBand="0" w:noVBand="1" w:val="04A0"/>
        <w:tblBorders>
          <w:top w:val="single" w:sz="2" w:color="DDECF7"/>
          <w:left w:val="single" w:sz="2" w:color="DDECF7"/>
          <w:bottom w:val="single" w:sz="2" w:color="DDECF7"/>
          <w:right w:val="single" w:sz="2" w:color="DDECF7"/>
          <w:insideH w:val="single" w:sz="2" w:color="DDECF7"/>
          <w:insideV w:val="single" w:sz="2" w:color="DDECF7"/>
        </w:tblBorders>
      </w:tblPr>
      <w:tblGrid>
        <w:gridCol w:w="9840"/>
      </w:tblGrid>
      <w:tr>
        <w:tc>
          <w:tcPr>
            <w:tcW w:type="dxa" w:w="9840"/>
            <w:tcMar>
              <w:top w:w="170" w:type="dxa"/>
              <w:start w:w="210" w:type="dxa"/>
              <w:bottom w:w="170" w:type="dxa"/>
              <w:end w:w="210" w:type="dxa"/>
            </w:tcMar>
            <w:shd w:fill="DDECF7"/>
          </w:tcPr>
          <w:p>
            <w:pPr>
              <w:spacing w:after="60"/>
            </w:pPr>
            <w:r>
              <w:rPr>
                <w:rFonts w:ascii="Arial" w:hAnsi="Arial"/>
                <w:b/>
                <w:color w:val="0C4F80"/>
                <w:sz w:val="16"/>
              </w:rPr>
              <w:t>THE SHORT ANSWER</w:t>
            </w:r>
          </w:p>
          <w:p>
            <w:pPr>
              <w:spacing w:after="80"/>
            </w:pPr>
            <w:r>
              <w:rPr>
                <w:rFonts w:ascii="Arial" w:hAnsi="Arial"/>
                <w:b/>
                <w:color w:val="0B1727"/>
                <w:sz w:val="28"/>
              </w:rPr>
              <w:t>AAC can be profitable—but not automatically.</w:t>
            </w:r>
          </w:p>
          <w:p>
            <w:pPr>
              <w:spacing w:after="0" w:line="259" w:lineRule="auto"/>
            </w:pPr>
            <w:r>
              <w:t>A commercially successful project requires adequate regional demand, a competitive delivered price, reliable raw materials, realistic capacity utilisation, controlled operating cost and sufficient working capital.</w:t>
            </w:r>
          </w:p>
        </w:tc>
      </w:tr>
    </w:tbl>
    <w:p>
      <w:pPr>
        <w:pStyle w:val="Heading1"/>
      </w:pPr>
      <w:r>
        <w:t>The question that matters</w:t>
      </w:r>
    </w:p>
    <w:p>
      <w:r>
        <w:rPr>
          <w:rFonts w:ascii="Arial" w:hAnsi="Arial"/>
          <w:b w:val="0"/>
          <w:i w:val="0"/>
          <w:color w:val="0B1727"/>
          <w:sz w:val="20"/>
        </w:rPr>
        <w:t>The correct question is not simply, “Is the AAC business profitable?” It is:</w:t>
      </w:r>
    </w:p>
    <w:p>
      <w:pPr>
        <w:spacing w:before="100" w:after="180"/>
        <w:ind w:left="403"/>
      </w:pPr>
      <w:r>
        <w:rPr>
          <w:rFonts w:ascii="Arial" w:hAnsi="Arial"/>
          <w:b/>
          <w:color w:val="0C4F80"/>
          <w:sz w:val="28"/>
        </w:rPr>
        <w:t>Can an AAC plant of the proposed capacity operate profitably in this particular location and market?</w:t>
      </w:r>
    </w:p>
    <w:p>
      <w:r>
        <w:rPr>
          <w:rFonts w:ascii="Arial" w:hAnsi="Arial"/>
          <w:b w:val="0"/>
          <w:i w:val="0"/>
          <w:color w:val="0B1727"/>
          <w:sz w:val="20"/>
        </w:rPr>
        <w:t>That answer must be established before machinery selection or final investment approval.</w:t>
      </w:r>
    </w:p>
    <w:p>
      <w:pPr>
        <w:pStyle w:val="Heading1"/>
      </w:pPr>
      <w:r>
        <w:t>How AAC plant profitability should be calculated</w:t>
      </w:r>
    </w:p>
    <w:p>
      <w:r>
        <w:rPr>
          <w:rFonts w:ascii="Arial" w:hAnsi="Arial"/>
          <w:b w:val="0"/>
          <w:i w:val="0"/>
          <w:color w:val="0B1727"/>
          <w:sz w:val="20"/>
        </w:rPr>
        <w:t>Profitability should be calculated using saleable production—not only installed capacity.</w:t>
      </w:r>
    </w:p>
    <w:tbl>
      <w:tblPr>
        <w:tblW w:type="auto" w:w="0"/>
        <w:jc w:val="center"/>
        <w:tblLayout w:type="fixed"/>
        <w:tblLook w:firstColumn="1" w:firstRow="1" w:lastColumn="0" w:lastRow="0" w:noHBand="0" w:noVBand="1" w:val="04A0"/>
        <w:tblBorders>
          <w:top w:val="single" w:sz="6" w:color="DCE2E7"/>
          <w:left w:val="single" w:sz="6" w:color="DCE2E7"/>
          <w:bottom w:val="single" w:sz="6" w:color="DCE2E7"/>
          <w:right w:val="single" w:sz="6" w:color="DCE2E7"/>
          <w:insideH w:val="single" w:sz="6" w:color="DCE2E7"/>
          <w:insideV w:val="single" w:sz="6" w:color="DCE2E7"/>
        </w:tblBorders>
      </w:tblPr>
      <w:tblGrid>
        <w:gridCol w:w="2300"/>
        <w:gridCol w:w="7540"/>
      </w:tblGrid>
      <w:tr>
        <w:tc>
          <w:tcPr>
            <w:tcW w:type="dxa" w:w="2300"/>
            <w:tcMar>
              <w:top w:w="110" w:type="dxa"/>
              <w:start w:w="140" w:type="dxa"/>
              <w:bottom w:w="110" w:type="dxa"/>
              <w:end w:w="140" w:type="dxa"/>
            </w:tcMar>
            <w:vAlign w:val="center"/>
            <w:shd w:fill="EEF2F5"/>
          </w:tcPr>
          <w:p>
            <w:pPr>
              <w:spacing w:after="0"/>
            </w:pPr>
            <w:r>
              <w:rPr>
                <w:rFonts w:ascii="Arial" w:hAnsi="Arial"/>
                <w:b/>
                <w:color w:val="0B1727"/>
                <w:sz w:val="18"/>
              </w:rPr>
              <w:t>REVENUE</w:t>
            </w:r>
          </w:p>
        </w:tc>
        <w:tc>
          <w:tcPr>
            <w:tcW w:type="dxa" w:w="7540"/>
            <w:tcMar>
              <w:top w:w="110" w:type="dxa"/>
              <w:start w:w="140" w:type="dxa"/>
              <w:bottom w:w="110" w:type="dxa"/>
              <w:end w:w="140" w:type="dxa"/>
            </w:tcMar>
            <w:vAlign w:val="center"/>
          </w:tcPr>
          <w:p>
            <w:pPr>
              <w:spacing w:after="0"/>
            </w:pPr>
            <w:r>
              <w:rPr>
                <w:rFonts w:ascii="Arial" w:hAnsi="Arial"/>
                <w:b w:val="0"/>
                <w:color w:val="0B1727"/>
                <w:sz w:val="18"/>
              </w:rPr>
              <w:t>Saleable AAC volume × realised selling price per m³</w:t>
            </w:r>
          </w:p>
        </w:tc>
      </w:tr>
      <w:tr>
        <w:tc>
          <w:tcPr>
            <w:tcW w:type="dxa" w:w="2300"/>
            <w:tcMar>
              <w:top w:w="110" w:type="dxa"/>
              <w:start w:w="140" w:type="dxa"/>
              <w:bottom w:w="110" w:type="dxa"/>
              <w:end w:w="140" w:type="dxa"/>
            </w:tcMar>
            <w:vAlign w:val="center"/>
            <w:shd w:fill="EEF2F5"/>
          </w:tcPr>
          <w:p>
            <w:pPr>
              <w:spacing w:after="0"/>
            </w:pPr>
            <w:r>
              <w:rPr>
                <w:rFonts w:ascii="Arial" w:hAnsi="Arial"/>
                <w:b/>
                <w:color w:val="0B1727"/>
                <w:sz w:val="18"/>
              </w:rPr>
              <w:t>LESS: OPERATING COST</w:t>
            </w:r>
          </w:p>
        </w:tc>
        <w:tc>
          <w:tcPr>
            <w:tcW w:type="dxa" w:w="7540"/>
            <w:tcMar>
              <w:top w:w="110" w:type="dxa"/>
              <w:start w:w="140" w:type="dxa"/>
              <w:bottom w:w="110" w:type="dxa"/>
              <w:end w:w="140" w:type="dxa"/>
            </w:tcMar>
            <w:vAlign w:val="center"/>
          </w:tcPr>
          <w:p>
            <w:pPr>
              <w:spacing w:after="0"/>
            </w:pPr>
            <w:r>
              <w:rPr>
                <w:rFonts w:ascii="Arial" w:hAnsi="Arial"/>
                <w:b w:val="0"/>
                <w:color w:val="0B1727"/>
                <w:sz w:val="18"/>
              </w:rPr>
              <w:t>Raw materials, utilities, manpower, maintenance, quality losses, handling, selling costs and freight support where applicable</w:t>
            </w:r>
          </w:p>
        </w:tc>
      </w:tr>
      <w:tr>
        <w:tc>
          <w:tcPr>
            <w:tcW w:type="dxa" w:w="2300"/>
            <w:tcMar>
              <w:top w:w="110" w:type="dxa"/>
              <w:start w:w="140" w:type="dxa"/>
              <w:bottom w:w="110" w:type="dxa"/>
              <w:end w:w="140" w:type="dxa"/>
            </w:tcMar>
            <w:vAlign w:val="center"/>
            <w:shd w:fill="EEF2F5"/>
          </w:tcPr>
          <w:p>
            <w:pPr>
              <w:spacing w:after="0"/>
            </w:pPr>
            <w:r>
              <w:rPr>
                <w:rFonts w:ascii="Arial" w:hAnsi="Arial"/>
                <w:b/>
                <w:color w:val="0B1727"/>
                <w:sz w:val="18"/>
              </w:rPr>
              <w:t>LESS: FIXED &amp; FINANCIAL COST</w:t>
            </w:r>
          </w:p>
        </w:tc>
        <w:tc>
          <w:tcPr>
            <w:tcW w:type="dxa" w:w="7540"/>
            <w:tcMar>
              <w:top w:w="110" w:type="dxa"/>
              <w:start w:w="140" w:type="dxa"/>
              <w:bottom w:w="110" w:type="dxa"/>
              <w:end w:w="140" w:type="dxa"/>
            </w:tcMar>
            <w:vAlign w:val="center"/>
          </w:tcPr>
          <w:p>
            <w:pPr>
              <w:spacing w:after="0"/>
            </w:pPr>
            <w:r>
              <w:rPr>
                <w:rFonts w:ascii="Arial" w:hAnsi="Arial"/>
                <w:b w:val="0"/>
                <w:color w:val="0B1727"/>
                <w:sz w:val="18"/>
              </w:rPr>
              <w:t>Administration, interest, depreciation, insurance, statutory expenses and working-capital cost</w:t>
            </w:r>
          </w:p>
        </w:tc>
      </w:tr>
    </w:tbl>
    <w:p>
      <w:r>
        <w:rPr>
          <w:rFonts w:ascii="Arial" w:hAnsi="Arial"/>
          <w:b w:val="0"/>
          <w:i w:val="0"/>
          <w:color w:val="5E6874"/>
          <w:sz w:val="19"/>
        </w:rPr>
        <w:t>Installed capacity, actual production, saleable output, dispatched volume and collected revenue are not the same. A project may look profitable at full capacity but face pressure when sales ramp up slowly, prices fall, losses increase or payments are delayed.</w:t>
      </w:r>
    </w:p>
    <w:p>
      <w:r>
        <w:br w:type="page"/>
      </w:r>
    </w:p>
    <w:p>
      <w:pPr>
        <w:pStyle w:val="Heading1"/>
      </w:pPr>
      <w:r>
        <w:t>Seven factors that decide profitability</w:t>
      </w:r>
    </w:p>
    <w:p>
      <w:pPr>
        <w:pStyle w:val="Heading2"/>
      </w:pPr>
      <w:r>
        <w:t>1. Regional market demand</w:t>
      </w:r>
    </w:p>
    <w:p>
      <w:r>
        <w:rPr>
          <w:rFonts w:ascii="Arial" w:hAnsi="Arial"/>
          <w:b w:val="0"/>
          <w:i w:val="0"/>
          <w:color w:val="0B1727"/>
          <w:sz w:val="19"/>
        </w:rPr>
        <w:t>Assess current AAC consumption, competing supply, announced capacities, customer acceptance, sales channels, market prices and local credit practices. General construction growth does not guarantee sufficient demand for a particular plant.</w:t>
      </w:r>
    </w:p>
    <w:p>
      <w:pPr>
        <w:pStyle w:val="Heading2"/>
      </w:pPr>
      <w:r>
        <w:t>2. Delivered selling price</w:t>
      </w:r>
    </w:p>
    <w:p>
      <w:r>
        <w:rPr>
          <w:rFonts w:ascii="Arial" w:hAnsi="Arial"/>
          <w:b w:val="0"/>
          <w:i w:val="0"/>
          <w:color w:val="0B1727"/>
          <w:sz w:val="19"/>
        </w:rPr>
        <w:t>Calculate the realised price after discounts, dealer margins, freight support, breakage claims and credit costs. There is no universal economic dispatch radius; it depends on freight, vehicle utilisation, roads, market price and competition.</w:t>
      </w:r>
    </w:p>
    <w:p>
      <w:pPr>
        <w:pStyle w:val="Heading2"/>
      </w:pPr>
      <w:r>
        <w:t>3. Raw-material suitability and landed cost</w:t>
      </w:r>
    </w:p>
    <w:p>
      <w:r>
        <w:rPr>
          <w:rFonts w:ascii="Arial" w:hAnsi="Arial"/>
          <w:b w:val="0"/>
          <w:i w:val="0"/>
          <w:color w:val="0B1727"/>
          <w:sz w:val="19"/>
        </w:rPr>
        <w:t>AAC may use fly ash or sand as its principal silica source. Verify suitability, consistency, delivered cost, seasonal availability, storage, transport reliability and the cost of lime, cement, gypsum, aerating agent and boiler fuel.</w:t>
      </w:r>
    </w:p>
    <w:p>
      <w:pPr>
        <w:pStyle w:val="Heading2"/>
      </w:pPr>
      <w:r>
        <w:t>4. Realistic capacity utilisation</w:t>
      </w:r>
    </w:p>
    <w:p>
      <w:r>
        <w:rPr>
          <w:rFonts w:ascii="Arial" w:hAnsi="Arial"/>
          <w:b w:val="0"/>
          <w:i w:val="0"/>
          <w:color w:val="0B1727"/>
          <w:sz w:val="19"/>
        </w:rPr>
        <w:t>Allow for commissioning, stabilisation, customer trials, market development, maintenance, downtime, product losses and seasonal demand. Test profitability at several utilisation levels—not only the most optimistic case.</w:t>
      </w:r>
    </w:p>
    <w:p>
      <w:pPr>
        <w:pStyle w:val="Heading2"/>
      </w:pPr>
      <w:r>
        <w:t>5. Product quality and plant reliability</w:t>
      </w:r>
    </w:p>
    <w:p>
      <w:r>
        <w:rPr>
          <w:rFonts w:ascii="Arial" w:hAnsi="Arial"/>
          <w:b w:val="0"/>
          <w:i w:val="0"/>
          <w:color w:val="0B1727"/>
          <w:sz w:val="19"/>
        </w:rPr>
        <w:t>Raw-material variation, process control, equipment condition and maintenance affect saleable output. Quality planning should consider the applicable requirements of IS 2185 (Part 3):1984 for autoclaved cellular aerated concrete blocks.</w:t>
      </w:r>
    </w:p>
    <w:p>
      <w:pPr>
        <w:pStyle w:val="Heading2"/>
      </w:pPr>
      <w:r>
        <w:t>6. Working capital and payment cycle</w:t>
      </w:r>
    </w:p>
    <w:p>
      <w:r>
        <w:rPr>
          <w:rFonts w:ascii="Arial" w:hAnsi="Arial"/>
          <w:b w:val="0"/>
          <w:i w:val="0"/>
          <w:color w:val="0B1727"/>
          <w:sz w:val="19"/>
        </w:rPr>
        <w:t>Plan for raw-material and fuel inventory, wages, utilities, finished stock, customer credit, freight, delayed payments and interest during ramp-up. A profitable income statement does not automatically mean healthy cash flow.</w:t>
      </w:r>
    </w:p>
    <w:p>
      <w:pPr>
        <w:pStyle w:val="Heading2"/>
      </w:pPr>
      <w:r>
        <w:t>7. Correct capacity and automation</w:t>
      </w:r>
    </w:p>
    <w:p>
      <w:r>
        <w:rPr>
          <w:rFonts w:ascii="Arial" w:hAnsi="Arial"/>
          <w:b w:val="0"/>
          <w:i w:val="0"/>
          <w:color w:val="0B1727"/>
          <w:sz w:val="19"/>
        </w:rPr>
        <w:t>The right plant is not automatically the smallest, largest or most automated. Capacity and automation should match demand, manpower availability, technical support and future expansion. Automation may reduce manual handling while increasing skilled technical dependency.</w:t>
      </w:r>
    </w:p>
    <w:p>
      <w:r>
        <w:br w:type="page"/>
      </w:r>
    </w:p>
    <w:p>
      <w:pPr>
        <w:pStyle w:val="Heading1"/>
      </w:pPr>
      <w:r>
        <w:t>Two major AAC investment traps</w:t>
      </w:r>
    </w:p>
    <w:tbl>
      <w:tblPr>
        <w:tblW w:type="auto" w:w="0"/>
        <w:jc w:val="center"/>
        <w:tblLayout w:type="fixed"/>
        <w:tblLook w:firstColumn="1" w:firstRow="1" w:lastColumn="0" w:lastRow="0" w:noHBand="0" w:noVBand="1" w:val="04A0"/>
        <w:tblBorders>
          <w:top w:val="single" w:sz="2" w:color="F5F7F8"/>
          <w:left w:val="single" w:sz="2" w:color="F5F7F8"/>
          <w:bottom w:val="single" w:sz="2" w:color="F5F7F8"/>
          <w:right w:val="single" w:sz="2" w:color="F5F7F8"/>
          <w:insideH w:val="single" w:sz="2" w:color="F5F7F8"/>
          <w:insideV w:val="single" w:sz="2" w:color="F5F7F8"/>
        </w:tblBorders>
      </w:tblPr>
      <w:tblGrid>
        <w:gridCol w:w="9840"/>
      </w:tblGrid>
      <w:tr>
        <w:tc>
          <w:tcPr>
            <w:tcW w:type="dxa" w:w="9840"/>
            <w:tcMar>
              <w:top w:w="170" w:type="dxa"/>
              <w:start w:w="210" w:type="dxa"/>
              <w:bottom w:w="170" w:type="dxa"/>
              <w:end w:w="210" w:type="dxa"/>
            </w:tcMar>
            <w:shd w:fill="F5F7F8"/>
          </w:tcPr>
          <w:p>
            <w:pPr>
              <w:spacing w:after="60"/>
            </w:pPr>
            <w:r>
              <w:rPr>
                <w:rFonts w:ascii="Arial" w:hAnsi="Arial"/>
                <w:b/>
                <w:color w:val="0C4F80"/>
                <w:sz w:val="16"/>
              </w:rPr>
              <w:t>INVESTMENT RISK 01</w:t>
            </w:r>
          </w:p>
          <w:p>
            <w:pPr>
              <w:spacing w:after="80"/>
            </w:pPr>
            <w:r>
              <w:rPr>
                <w:rFonts w:ascii="Arial" w:hAnsi="Arial"/>
                <w:b/>
                <w:color w:val="0B1727"/>
                <w:sz w:val="28"/>
              </w:rPr>
              <w:t>The Small Plant Trap</w:t>
            </w:r>
          </w:p>
          <w:p>
            <w:pPr>
              <w:spacing w:after="0" w:line="259" w:lineRule="auto"/>
            </w:pPr>
            <w:r>
              <w:t>A lower machinery price does not always produce a lower cost per cubic metre. When saleable production is limited, supervision, laboratory, boiler operation, maintenance, administration and sales costs are distributed across fewer cubic metres. A small plant can be suitable—but only when its unit economics and expansion path are commercially sound.</w:t>
            </w:r>
          </w:p>
        </w:tc>
      </w:tr>
    </w:tbl>
    <w:p/>
    <w:tbl>
      <w:tblPr>
        <w:tblW w:type="auto" w:w="0"/>
        <w:jc w:val="center"/>
        <w:tblLayout w:type="fixed"/>
        <w:tblLook w:firstColumn="1" w:firstRow="1" w:lastColumn="0" w:lastRow="0" w:noHBand="0" w:noVBand="1" w:val="04A0"/>
        <w:tblBorders>
          <w:top w:val="single" w:sz="2" w:color="F5F7F8"/>
          <w:left w:val="single" w:sz="2" w:color="F5F7F8"/>
          <w:bottom w:val="single" w:sz="2" w:color="F5F7F8"/>
          <w:right w:val="single" w:sz="2" w:color="F5F7F8"/>
          <w:insideH w:val="single" w:sz="2" w:color="F5F7F8"/>
          <w:insideV w:val="single" w:sz="2" w:color="F5F7F8"/>
        </w:tblBorders>
      </w:tblPr>
      <w:tblGrid>
        <w:gridCol w:w="9840"/>
      </w:tblGrid>
      <w:tr>
        <w:tc>
          <w:tcPr>
            <w:tcW w:type="dxa" w:w="9840"/>
            <w:tcMar>
              <w:top w:w="170" w:type="dxa"/>
              <w:start w:w="210" w:type="dxa"/>
              <w:bottom w:w="170" w:type="dxa"/>
              <w:end w:w="210" w:type="dxa"/>
            </w:tcMar>
            <w:shd w:fill="F5F7F8"/>
          </w:tcPr>
          <w:p>
            <w:pPr>
              <w:spacing w:after="60"/>
            </w:pPr>
            <w:r>
              <w:rPr>
                <w:rFonts w:ascii="Arial" w:hAnsi="Arial"/>
                <w:b/>
                <w:color w:val="0C4F80"/>
                <w:sz w:val="16"/>
              </w:rPr>
              <w:t>INVESTMENT RISK 02</w:t>
            </w:r>
          </w:p>
          <w:p>
            <w:pPr>
              <w:spacing w:after="80"/>
            </w:pPr>
            <w:r>
              <w:rPr>
                <w:rFonts w:ascii="Arial" w:hAnsi="Arial"/>
                <w:b/>
                <w:color w:val="0B1727"/>
                <w:sz w:val="28"/>
              </w:rPr>
              <w:t>The Over-Investment Trap</w:t>
            </w:r>
          </w:p>
          <w:p>
            <w:pPr>
              <w:spacing w:after="0" w:line="259" w:lineRule="auto"/>
            </w:pPr>
            <w:r>
              <w:t>Installing more capacity or automation than the market can absorb can create high interest, depreciation, working-capital demand and break-even volume. The objective should be a commercially balanced and expansion-ready plant—not maximum capacity from day one.</w:t>
            </w:r>
          </w:p>
        </w:tc>
      </w:tr>
    </w:tbl>
    <w:p>
      <w:pPr>
        <w:pStyle w:val="Heading1"/>
      </w:pPr>
      <w:r>
        <w:t>Capacity strategy at a glance</w:t>
      </w:r>
    </w:p>
    <w:tbl>
      <w:tblPr>
        <w:tblW w:type="auto" w:w="0"/>
        <w:jc w:val="center"/>
        <w:tblLayout w:type="fixed"/>
        <w:tblLook w:firstColumn="1" w:firstRow="1" w:lastColumn="0" w:lastRow="0" w:noHBand="0" w:noVBand="1" w:val="04A0"/>
        <w:tblBorders>
          <w:top w:val="single" w:sz="6" w:color="DCE2E7"/>
          <w:left w:val="single" w:sz="6" w:color="DCE2E7"/>
          <w:bottom w:val="single" w:sz="6" w:color="DCE2E7"/>
          <w:right w:val="single" w:sz="6" w:color="DCE2E7"/>
          <w:insideH w:val="single" w:sz="6" w:color="DCE2E7"/>
          <w:insideV w:val="single" w:sz="6" w:color="DCE2E7"/>
        </w:tblBorders>
      </w:tblPr>
      <w:tblGrid>
        <w:gridCol w:w="2520"/>
        <w:gridCol w:w="3300"/>
        <w:gridCol w:w="4020"/>
      </w:tblGrid>
      <w:tr>
        <w:tc>
          <w:tcPr>
            <w:tcW w:type="dxa" w:w="2520"/>
            <w:tcMar>
              <w:top w:w="110" w:type="dxa"/>
              <w:start w:w="140" w:type="dxa"/>
              <w:bottom w:w="110" w:type="dxa"/>
              <w:end w:w="140" w:type="dxa"/>
            </w:tcMar>
            <w:shd w:fill="09263D"/>
          </w:tcPr>
          <w:p>
            <w:pPr>
              <w:spacing w:after="0"/>
            </w:pPr>
            <w:r>
              <w:rPr>
                <w:rFonts w:ascii="Arial" w:hAnsi="Arial"/>
                <w:b/>
                <w:color w:val="FFFFFF"/>
                <w:sz w:val="18"/>
              </w:rPr>
              <w:t>Plant strategy</w:t>
            </w:r>
          </w:p>
        </w:tc>
        <w:tc>
          <w:tcPr>
            <w:tcW w:type="dxa" w:w="3300"/>
            <w:tcMar>
              <w:top w:w="110" w:type="dxa"/>
              <w:start w:w="140" w:type="dxa"/>
              <w:bottom w:w="110" w:type="dxa"/>
              <w:end w:w="140" w:type="dxa"/>
            </w:tcMar>
            <w:shd w:fill="09263D"/>
          </w:tcPr>
          <w:p>
            <w:pPr>
              <w:spacing w:after="0"/>
            </w:pPr>
            <w:r>
              <w:rPr>
                <w:rFonts w:ascii="Arial" w:hAnsi="Arial"/>
                <w:b/>
                <w:color w:val="FFFFFF"/>
                <w:sz w:val="18"/>
              </w:rPr>
              <w:t>Main advantage</w:t>
            </w:r>
          </w:p>
        </w:tc>
        <w:tc>
          <w:tcPr>
            <w:tcW w:type="dxa" w:w="4020"/>
            <w:tcMar>
              <w:top w:w="110" w:type="dxa"/>
              <w:start w:w="140" w:type="dxa"/>
              <w:bottom w:w="110" w:type="dxa"/>
              <w:end w:w="140" w:type="dxa"/>
            </w:tcMar>
            <w:shd w:fill="09263D"/>
          </w:tcPr>
          <w:p>
            <w:pPr>
              <w:spacing w:after="0"/>
            </w:pPr>
            <w:r>
              <w:rPr>
                <w:rFonts w:ascii="Arial" w:hAnsi="Arial"/>
                <w:b/>
                <w:color w:val="FFFFFF"/>
                <w:sz w:val="18"/>
              </w:rPr>
              <w:t>Principal risk</w:t>
            </w:r>
          </w:p>
        </w:tc>
      </w:tr>
      <w:tr>
        <w:tc>
          <w:tcPr>
            <w:tcW w:type="dxa" w:w="2520"/>
            <w:tcMar>
              <w:top w:w="110" w:type="dxa"/>
              <w:start w:w="140" w:type="dxa"/>
              <w:bottom w:w="110" w:type="dxa"/>
              <w:end w:w="140" w:type="dxa"/>
            </w:tcMar>
            <w:vAlign w:val="center"/>
          </w:tcPr>
          <w:p>
            <w:pPr>
              <w:spacing w:after="0"/>
            </w:pPr>
            <w:r>
              <w:rPr>
                <w:rFonts w:ascii="Arial" w:hAnsi="Arial"/>
                <w:b/>
                <w:color w:val="0B1727"/>
                <w:sz w:val="17"/>
              </w:rPr>
              <w:t>Too small</w:t>
            </w:r>
          </w:p>
        </w:tc>
        <w:tc>
          <w:tcPr>
            <w:tcW w:type="dxa" w:w="3300"/>
            <w:tcMar>
              <w:top w:w="110" w:type="dxa"/>
              <w:start w:w="140" w:type="dxa"/>
              <w:bottom w:w="110" w:type="dxa"/>
              <w:end w:w="140" w:type="dxa"/>
            </w:tcMar>
            <w:vAlign w:val="center"/>
          </w:tcPr>
          <w:p>
            <w:pPr>
              <w:spacing w:after="0"/>
            </w:pPr>
            <w:r>
              <w:rPr>
                <w:rFonts w:ascii="Arial" w:hAnsi="Arial"/>
                <w:b w:val="0"/>
                <w:color w:val="0B1727"/>
                <w:sz w:val="17"/>
              </w:rPr>
              <w:t>Lower initial commitment</w:t>
            </w:r>
          </w:p>
        </w:tc>
        <w:tc>
          <w:tcPr>
            <w:tcW w:type="dxa" w:w="4020"/>
            <w:tcMar>
              <w:top w:w="110" w:type="dxa"/>
              <w:start w:w="140" w:type="dxa"/>
              <w:bottom w:w="110" w:type="dxa"/>
              <w:end w:w="140" w:type="dxa"/>
            </w:tcMar>
            <w:vAlign w:val="center"/>
          </w:tcPr>
          <w:p>
            <w:pPr>
              <w:spacing w:after="0"/>
            </w:pPr>
            <w:r>
              <w:rPr>
                <w:rFonts w:ascii="Arial" w:hAnsi="Arial"/>
                <w:b w:val="0"/>
                <w:color w:val="0B1727"/>
                <w:sz w:val="17"/>
              </w:rPr>
              <w:t>Higher fixed cost per saleable m³ and limited scalability</w:t>
            </w:r>
          </w:p>
        </w:tc>
      </w:tr>
      <w:tr>
        <w:tc>
          <w:tcPr>
            <w:tcW w:type="dxa" w:w="2520"/>
            <w:tcMar>
              <w:top w:w="110" w:type="dxa"/>
              <w:start w:w="140" w:type="dxa"/>
              <w:bottom w:w="110" w:type="dxa"/>
              <w:end w:w="140" w:type="dxa"/>
            </w:tcMar>
            <w:vAlign w:val="center"/>
            <w:shd w:fill="F5F7F8"/>
          </w:tcPr>
          <w:p>
            <w:pPr>
              <w:spacing w:after="0"/>
            </w:pPr>
            <w:r>
              <w:rPr>
                <w:rFonts w:ascii="Arial" w:hAnsi="Arial"/>
                <w:b/>
                <w:color w:val="0B1727"/>
                <w:sz w:val="17"/>
              </w:rPr>
              <w:t>Balanced and expansion-ready</w:t>
            </w:r>
          </w:p>
        </w:tc>
        <w:tc>
          <w:tcPr>
            <w:tcW w:type="dxa" w:w="3300"/>
            <w:tcMar>
              <w:top w:w="110" w:type="dxa"/>
              <w:start w:w="140" w:type="dxa"/>
              <w:bottom w:w="110" w:type="dxa"/>
              <w:end w:w="140" w:type="dxa"/>
            </w:tcMar>
            <w:vAlign w:val="center"/>
            <w:shd w:fill="F5F7F8"/>
          </w:tcPr>
          <w:p>
            <w:pPr>
              <w:spacing w:after="0"/>
            </w:pPr>
            <w:r>
              <w:rPr>
                <w:rFonts w:ascii="Arial" w:hAnsi="Arial"/>
                <w:b w:val="0"/>
                <w:color w:val="0B1727"/>
                <w:sz w:val="17"/>
              </w:rPr>
              <w:t>Investment aligned with realistic demand</w:t>
            </w:r>
          </w:p>
        </w:tc>
        <w:tc>
          <w:tcPr>
            <w:tcW w:type="dxa" w:w="4020"/>
            <w:tcMar>
              <w:top w:w="110" w:type="dxa"/>
              <w:start w:w="140" w:type="dxa"/>
              <w:bottom w:w="110" w:type="dxa"/>
              <w:end w:w="140" w:type="dxa"/>
            </w:tcMar>
            <w:vAlign w:val="center"/>
            <w:shd w:fill="F5F7F8"/>
          </w:tcPr>
          <w:p>
            <w:pPr>
              <w:spacing w:after="0"/>
            </w:pPr>
            <w:r>
              <w:rPr>
                <w:rFonts w:ascii="Arial" w:hAnsi="Arial"/>
                <w:b w:val="0"/>
                <w:color w:val="0B1727"/>
                <w:sz w:val="17"/>
              </w:rPr>
              <w:t>Requires careful layout and capacity planning</w:t>
            </w:r>
          </w:p>
        </w:tc>
      </w:tr>
      <w:tr>
        <w:tc>
          <w:tcPr>
            <w:tcW w:type="dxa" w:w="2520"/>
            <w:tcMar>
              <w:top w:w="110" w:type="dxa"/>
              <w:start w:w="140" w:type="dxa"/>
              <w:bottom w:w="110" w:type="dxa"/>
              <w:end w:w="140" w:type="dxa"/>
            </w:tcMar>
            <w:vAlign w:val="center"/>
          </w:tcPr>
          <w:p>
            <w:pPr>
              <w:spacing w:after="0"/>
            </w:pPr>
            <w:r>
              <w:rPr>
                <w:rFonts w:ascii="Arial" w:hAnsi="Arial"/>
                <w:b/>
                <w:color w:val="0B1727"/>
                <w:sz w:val="17"/>
              </w:rPr>
              <w:t>Oversized</w:t>
            </w:r>
          </w:p>
        </w:tc>
        <w:tc>
          <w:tcPr>
            <w:tcW w:type="dxa" w:w="3300"/>
            <w:tcMar>
              <w:top w:w="110" w:type="dxa"/>
              <w:start w:w="140" w:type="dxa"/>
              <w:bottom w:w="110" w:type="dxa"/>
              <w:end w:w="140" w:type="dxa"/>
            </w:tcMar>
            <w:vAlign w:val="center"/>
          </w:tcPr>
          <w:p>
            <w:pPr>
              <w:spacing w:after="0"/>
            </w:pPr>
            <w:r>
              <w:rPr>
                <w:rFonts w:ascii="Arial" w:hAnsi="Arial"/>
                <w:b w:val="0"/>
                <w:color w:val="0B1727"/>
                <w:sz w:val="17"/>
              </w:rPr>
              <w:t>Capacity available for future growth</w:t>
            </w:r>
          </w:p>
        </w:tc>
        <w:tc>
          <w:tcPr>
            <w:tcW w:type="dxa" w:w="4020"/>
            <w:tcMar>
              <w:top w:w="110" w:type="dxa"/>
              <w:start w:w="140" w:type="dxa"/>
              <w:bottom w:w="110" w:type="dxa"/>
              <w:end w:w="140" w:type="dxa"/>
            </w:tcMar>
            <w:vAlign w:val="center"/>
          </w:tcPr>
          <w:p>
            <w:pPr>
              <w:spacing w:after="0"/>
            </w:pPr>
            <w:r>
              <w:rPr>
                <w:rFonts w:ascii="Arial" w:hAnsi="Arial"/>
                <w:b w:val="0"/>
                <w:color w:val="0B1727"/>
                <w:sz w:val="17"/>
              </w:rPr>
              <w:t>Underutilisation, debt pressure and high break-even volume</w:t>
            </w:r>
          </w:p>
        </w:tc>
      </w:tr>
    </w:tbl>
    <w:p>
      <w:pPr>
        <w:pStyle w:val="Heading1"/>
      </w:pPr>
      <w:r>
        <w:t>What should be verified before investing?</w:t>
      </w:r>
    </w:p>
    <w:p>
      <w:pPr>
        <w:pStyle w:val="ListBullet"/>
      </w:pPr>
      <w:r>
        <w:t>Monthly saleable volume the target market can realistically absorb</w:t>
      </w:r>
    </w:p>
    <w:p>
      <w:pPr>
        <w:pStyle w:val="ListBullet"/>
      </w:pPr>
      <w:r>
        <w:t>Realised selling price after commercial deductions</w:t>
      </w:r>
    </w:p>
    <w:p>
      <w:pPr>
        <w:pStyle w:val="ListBullet"/>
      </w:pPr>
      <w:r>
        <w:t>Existing and proposed competing supply</w:t>
      </w:r>
    </w:p>
    <w:p>
      <w:pPr>
        <w:pStyle w:val="ListBullet"/>
      </w:pPr>
      <w:r>
        <w:t>Delivered cost and consistency of every major raw material</w:t>
      </w:r>
    </w:p>
    <w:p>
      <w:pPr>
        <w:pStyle w:val="ListBullet"/>
      </w:pPr>
      <w:r>
        <w:t>Production cost per saleable cubic metre</w:t>
      </w:r>
    </w:p>
    <w:p>
      <w:pPr>
        <w:pStyle w:val="ListBullet"/>
      </w:pPr>
      <w:r>
        <w:t>Expected losses, downtime and market-development period</w:t>
      </w:r>
    </w:p>
    <w:p>
      <w:pPr>
        <w:pStyle w:val="ListBullet"/>
      </w:pPr>
      <w:r>
        <w:t>Break-even utilisation and working-capital requirement</w:t>
      </w:r>
    </w:p>
    <w:p>
      <w:pPr>
        <w:pStyle w:val="ListBullet"/>
      </w:pPr>
      <w:r>
        <w:t>Ability to withstand lower sales, lower prices or higher input costs</w:t>
      </w:r>
    </w:p>
    <w:p>
      <w:pPr>
        <w:pStyle w:val="ListBullet"/>
      </w:pPr>
      <w:r>
        <w:t>Expansion possibility without major production disruption</w:t>
      </w:r>
    </w:p>
    <w:p>
      <w:pPr>
        <w:pStyle w:val="Heading2"/>
      </w:pPr>
      <w:r>
        <w:t>Minimum sensitivity tests</w:t>
      </w:r>
    </w:p>
    <w:p>
      <w:r>
        <w:rPr>
          <w:rFonts w:ascii="Arial" w:hAnsi="Arial"/>
          <w:b w:val="0"/>
          <w:i w:val="0"/>
          <w:color w:val="0B1727"/>
          <w:sz w:val="19"/>
        </w:rPr>
        <w:t>Test the business case against four adverse conditions: lower sales volume, reduction in realised price, higher raw-material or fuel cost, and increased freight or customer-credit period.</w:t>
      </w:r>
    </w:p>
    <w:p>
      <w:r>
        <w:br w:type="page"/>
      </w:r>
    </w:p>
    <w:p>
      <w:pPr>
        <w:pStyle w:val="Heading1"/>
      </w:pPr>
      <w:r>
        <w:t>Plan the business before selecting the plant</w:t>
      </w:r>
    </w:p>
    <w:p>
      <w:r>
        <w:rPr>
          <w:rFonts w:ascii="Arial" w:hAnsi="Arial"/>
          <w:b/>
          <w:i w:val="0"/>
          <w:color w:val="0C4F80"/>
          <w:sz w:val="24"/>
        </w:rPr>
        <w:t>Laxmi En-Fab Pvt. Ltd. approaches AAC plant planning as an engineering and commercial-sizing decision—not simply as machinery selection.</w:t>
      </w:r>
    </w:p>
    <w:p>
      <w:r>
        <w:rPr>
          <w:rFonts w:ascii="Arial" w:hAnsi="Arial"/>
          <w:b w:val="0"/>
          <w:i w:val="0"/>
          <w:color w:val="0B1727"/>
          <w:sz w:val="20"/>
        </w:rPr>
        <w:t>The proposed location, market potential, raw-material route, required capacity, automation level, utility plan and future expansion should be considered together. This helps an investor avoid both under-sized projects and unnecessary over-investment.</w:t>
      </w:r>
    </w:p>
    <w:p>
      <w:r>
        <w:rPr>
          <w:rFonts w:ascii="Arial" w:hAnsi="Arial"/>
          <w:b w:val="0"/>
          <w:i w:val="0"/>
          <w:color w:val="0B1727"/>
          <w:sz w:val="20"/>
        </w:rPr>
        <w:t>Every feasibility estimate should use current, location-specific assumptions. No machinery supplier can responsibly guarantee profit without verifying the investor’s market, cost, operating and financing conditions.</w:t>
      </w:r>
    </w:p>
    <w:tbl>
      <w:tblPr>
        <w:tblW w:type="auto" w:w="0"/>
        <w:jc w:val="center"/>
        <w:tblLayout w:type="fixed"/>
        <w:tblLook w:firstColumn="1" w:firstRow="1" w:lastColumn="0" w:lastRow="0" w:noHBand="0" w:noVBand="1" w:val="04A0"/>
        <w:tblBorders>
          <w:top w:val="single" w:sz="2" w:color="DDECF7"/>
          <w:left w:val="single" w:sz="2" w:color="DDECF7"/>
          <w:bottom w:val="single" w:sz="2" w:color="DDECF7"/>
          <w:right w:val="single" w:sz="2" w:color="DDECF7"/>
          <w:insideH w:val="single" w:sz="2" w:color="DDECF7"/>
          <w:insideV w:val="single" w:sz="2" w:color="DDECF7"/>
        </w:tblBorders>
      </w:tblPr>
      <w:tblGrid>
        <w:gridCol w:w="9840"/>
      </w:tblGrid>
      <w:tr>
        <w:tc>
          <w:tcPr>
            <w:tcW w:type="dxa" w:w="9840"/>
            <w:tcMar>
              <w:top w:w="170" w:type="dxa"/>
              <w:start w:w="210" w:type="dxa"/>
              <w:bottom w:w="170" w:type="dxa"/>
              <w:end w:w="210" w:type="dxa"/>
            </w:tcMar>
            <w:shd w:fill="DDECF7"/>
          </w:tcPr>
          <w:p>
            <w:pPr>
              <w:spacing w:after="60"/>
            </w:pPr>
            <w:r>
              <w:rPr>
                <w:rFonts w:ascii="Arial" w:hAnsi="Arial"/>
                <w:b/>
                <w:color w:val="0C4F80"/>
                <w:sz w:val="16"/>
              </w:rPr>
              <w:t>RECOMMENDED NEXT STEP</w:t>
            </w:r>
          </w:p>
          <w:p>
            <w:pPr>
              <w:spacing w:after="80"/>
            </w:pPr>
            <w:r>
              <w:rPr>
                <w:rFonts w:ascii="Arial" w:hAnsi="Arial"/>
                <w:b/>
                <w:color w:val="0B1727"/>
                <w:sz w:val="28"/>
              </w:rPr>
              <w:t>Request an AAC Project Feasibility Discussion</w:t>
            </w:r>
          </w:p>
          <w:p>
            <w:pPr>
              <w:spacing w:after="0" w:line="259" w:lineRule="auto"/>
            </w:pPr>
            <w:r>
              <w:t>Share your proposed location, expected market area and preferred capacity with the Laxmi En-Fab team. We can discuss the technical and commercial assumptions that should be verified before equipment selection.</w:t>
            </w:r>
          </w:p>
        </w:tc>
      </w:tr>
    </w:tbl>
    <w:p>
      <w:pPr>
        <w:pStyle w:val="Heading2"/>
      </w:pPr>
      <w:r>
        <w:t>Information to keep ready</w:t>
      </w:r>
    </w:p>
    <w:p>
      <w:pPr>
        <w:pStyle w:val="ListBullet"/>
      </w:pPr>
      <w:r>
        <w:t>Proposed city, state and country</w:t>
      </w:r>
    </w:p>
    <w:p>
      <w:pPr>
        <w:pStyle w:val="ListBullet"/>
      </w:pPr>
      <w:r>
        <w:t>Expected sales territory</w:t>
      </w:r>
    </w:p>
    <w:p>
      <w:pPr>
        <w:pStyle w:val="ListBullet"/>
      </w:pPr>
      <w:r>
        <w:t>Preferred capacity—or ‘not decided’</w:t>
      </w:r>
    </w:p>
    <w:p>
      <w:pPr>
        <w:pStyle w:val="ListBullet"/>
      </w:pPr>
      <w:r>
        <w:t>Available raw-material information</w:t>
      </w:r>
    </w:p>
    <w:p>
      <w:pPr>
        <w:pStyle w:val="ListBullet"/>
      </w:pPr>
      <w:r>
        <w:t>Current investment stage and expansion objective</w:t>
      </w:r>
    </w:p>
    <w:p>
      <w:pPr>
        <w:pStyle w:val="Heading1"/>
      </w:pPr>
      <w:r>
        <w:t>Publication details</w:t>
      </w:r>
    </w:p>
    <w:tbl>
      <w:tblPr>
        <w:tblW w:type="auto" w:w="0"/>
        <w:jc w:val="center"/>
        <w:tblLayout w:type="fixed"/>
        <w:tblLook w:firstColumn="1" w:firstRow="1" w:lastColumn="0" w:lastRow="0" w:noHBand="0" w:noVBand="1" w:val="04A0"/>
        <w:tblBorders>
          <w:top w:val="single" w:sz="6" w:color="DCE2E7"/>
          <w:left w:val="single" w:sz="6" w:color="DCE2E7"/>
          <w:bottom w:val="single" w:sz="6" w:color="DCE2E7"/>
          <w:right w:val="single" w:sz="6" w:color="DCE2E7"/>
          <w:insideH w:val="single" w:sz="6" w:color="DCE2E7"/>
          <w:insideV w:val="single" w:sz="6" w:color="DCE2E7"/>
        </w:tblBorders>
      </w:tblPr>
      <w:tblGrid>
        <w:gridCol w:w="2400"/>
        <w:gridCol w:w="7440"/>
      </w:tblGrid>
      <w:tr>
        <w:tc>
          <w:tcPr>
            <w:tcW w:type="dxa" w:w="2400"/>
            <w:tcMar>
              <w:top w:w="110" w:type="dxa"/>
              <w:start w:w="140" w:type="dxa"/>
              <w:bottom w:w="110" w:type="dxa"/>
              <w:end w:w="140" w:type="dxa"/>
            </w:tcMar>
            <w:shd w:fill="EEF2F5"/>
          </w:tcPr>
          <w:p>
            <w:pPr>
              <w:spacing w:after="0"/>
            </w:pPr>
            <w:r>
              <w:rPr>
                <w:rFonts w:ascii="Arial" w:hAnsi="Arial"/>
                <w:b/>
                <w:color w:val="0B1727"/>
                <w:sz w:val="18"/>
              </w:rPr>
              <w:t>SEO title</w:t>
            </w:r>
          </w:p>
        </w:tc>
        <w:tc>
          <w:tcPr>
            <w:tcW w:type="dxa" w:w="7440"/>
            <w:tcMar>
              <w:top w:w="110" w:type="dxa"/>
              <w:start w:w="140" w:type="dxa"/>
              <w:bottom w:w="110" w:type="dxa"/>
              <w:end w:w="140" w:type="dxa"/>
            </w:tcMar>
          </w:tcPr>
          <w:p>
            <w:pPr>
              <w:spacing w:after="0"/>
            </w:pPr>
            <w:r>
              <w:rPr>
                <w:rFonts w:ascii="Arial" w:hAnsi="Arial"/>
                <w:b w:val="0"/>
                <w:color w:val="0B1727"/>
                <w:sz w:val="18"/>
              </w:rPr>
              <w:t>Is AAC Block Business Profitable in India?</w:t>
            </w:r>
          </w:p>
        </w:tc>
      </w:tr>
      <w:tr>
        <w:tc>
          <w:tcPr>
            <w:tcW w:type="dxa" w:w="2400"/>
            <w:tcMar>
              <w:top w:w="110" w:type="dxa"/>
              <w:start w:w="140" w:type="dxa"/>
              <w:bottom w:w="110" w:type="dxa"/>
              <w:end w:w="140" w:type="dxa"/>
            </w:tcMar>
            <w:shd w:fill="EEF2F5"/>
          </w:tcPr>
          <w:p>
            <w:pPr>
              <w:spacing w:after="0"/>
            </w:pPr>
            <w:r>
              <w:rPr>
                <w:rFonts w:ascii="Arial" w:hAnsi="Arial"/>
                <w:b/>
                <w:color w:val="0B1727"/>
                <w:sz w:val="18"/>
              </w:rPr>
              <w:t>Meta description</w:t>
            </w:r>
          </w:p>
        </w:tc>
        <w:tc>
          <w:tcPr>
            <w:tcW w:type="dxa" w:w="7440"/>
            <w:tcMar>
              <w:top w:w="110" w:type="dxa"/>
              <w:start w:w="140" w:type="dxa"/>
              <w:bottom w:w="110" w:type="dxa"/>
              <w:end w:w="140" w:type="dxa"/>
            </w:tcMar>
          </w:tcPr>
          <w:p>
            <w:pPr>
              <w:spacing w:after="0"/>
            </w:pPr>
            <w:r>
              <w:rPr>
                <w:rFonts w:ascii="Arial" w:hAnsi="Arial"/>
                <w:b w:val="0"/>
                <w:color w:val="0B1727"/>
                <w:sz w:val="18"/>
              </w:rPr>
              <w:t>Learn what makes an AAC block plant profitable in India, how to select the right capacity and avoid small-plant and over-investment traps.</w:t>
            </w:r>
          </w:p>
        </w:tc>
      </w:tr>
      <w:tr>
        <w:tc>
          <w:tcPr>
            <w:tcW w:type="dxa" w:w="2400"/>
            <w:tcMar>
              <w:top w:w="110" w:type="dxa"/>
              <w:start w:w="140" w:type="dxa"/>
              <w:bottom w:w="110" w:type="dxa"/>
              <w:end w:w="140" w:type="dxa"/>
            </w:tcMar>
            <w:shd w:fill="EEF2F5"/>
          </w:tcPr>
          <w:p>
            <w:pPr>
              <w:spacing w:after="0"/>
            </w:pPr>
            <w:r>
              <w:rPr>
                <w:rFonts w:ascii="Arial" w:hAnsi="Arial"/>
                <w:b/>
                <w:color w:val="0B1727"/>
                <w:sz w:val="18"/>
              </w:rPr>
              <w:t>Suggested URL</w:t>
            </w:r>
          </w:p>
        </w:tc>
        <w:tc>
          <w:tcPr>
            <w:tcW w:type="dxa" w:w="7440"/>
            <w:tcMar>
              <w:top w:w="110" w:type="dxa"/>
              <w:start w:w="140" w:type="dxa"/>
              <w:bottom w:w="110" w:type="dxa"/>
              <w:end w:w="140" w:type="dxa"/>
            </w:tcMar>
          </w:tcPr>
          <w:p>
            <w:pPr>
              <w:spacing w:after="0"/>
            </w:pPr>
            <w:r>
              <w:rPr>
                <w:rFonts w:ascii="Arial" w:hAnsi="Arial"/>
                <w:b w:val="0"/>
                <w:color w:val="0B1727"/>
                <w:sz w:val="18"/>
              </w:rPr>
              <w:t>/aac-block-plant-profitability-india/</w:t>
            </w:r>
          </w:p>
        </w:tc>
      </w:tr>
      <w:tr>
        <w:tc>
          <w:tcPr>
            <w:tcW w:type="dxa" w:w="2400"/>
            <w:tcMar>
              <w:top w:w="110" w:type="dxa"/>
              <w:start w:w="140" w:type="dxa"/>
              <w:bottom w:w="110" w:type="dxa"/>
              <w:end w:w="140" w:type="dxa"/>
            </w:tcMar>
            <w:shd w:fill="EEF2F5"/>
          </w:tcPr>
          <w:p>
            <w:pPr>
              <w:spacing w:after="0"/>
            </w:pPr>
            <w:r>
              <w:rPr>
                <w:rFonts w:ascii="Arial" w:hAnsi="Arial"/>
                <w:b/>
                <w:color w:val="0B1727"/>
                <w:sz w:val="18"/>
              </w:rPr>
              <w:t>Primary CTA</w:t>
            </w:r>
          </w:p>
        </w:tc>
        <w:tc>
          <w:tcPr>
            <w:tcW w:type="dxa" w:w="7440"/>
            <w:tcMar>
              <w:top w:w="110" w:type="dxa"/>
              <w:start w:w="140" w:type="dxa"/>
              <w:bottom w:w="110" w:type="dxa"/>
              <w:end w:w="140" w:type="dxa"/>
            </w:tcMar>
          </w:tcPr>
          <w:p>
            <w:pPr>
              <w:spacing w:after="0"/>
            </w:pPr>
            <w:r>
              <w:rPr>
                <w:rFonts w:ascii="Arial" w:hAnsi="Arial"/>
                <w:b w:val="0"/>
                <w:color w:val="0B1727"/>
                <w:sz w:val="18"/>
              </w:rPr>
              <w:t>Request an AAC Project Feasibility Discussion</w:t>
            </w:r>
          </w:p>
        </w:tc>
      </w:tr>
    </w:tbl>
    <w:p>
      <w:pPr>
        <w:spacing w:before="300" w:after="0"/>
      </w:pPr>
      <w:r>
        <w:rPr>
          <w:rFonts w:ascii="Arial" w:hAnsi="Arial"/>
          <w:b/>
          <w:color w:val="0C4F80"/>
          <w:sz w:val="16"/>
        </w:rPr>
        <w:t>IMPORTANT LIMITATION</w:t>
      </w:r>
    </w:p>
    <w:p>
      <w:pPr>
        <w:spacing w:after="0"/>
      </w:pPr>
      <w:r>
        <w:rPr>
          <w:rFonts w:ascii="Arial" w:hAnsi="Arial"/>
          <w:i/>
          <w:color w:val="5E6874"/>
          <w:sz w:val="18"/>
        </w:rPr>
        <w:t>This guide provides a project-evaluation framework, not a guaranteed profit, ROI or payback forecast. Actual results depend on location, market conditions, financing, plant configuration, operating performance and management.</w:t>
      </w:r>
    </w:p>
    <w:sectPr w:rsidR="00FC693F" w:rsidRPr="0006063C" w:rsidSect="00034616">
      <w:headerReference w:type="default" r:id="rId9"/>
      <w:footerReference w:type="default" r:id="rId10"/>
      <w:pgSz w:w="12240" w:h="15840"/>
      <w:pgMar w:top="1037" w:right="1123" w:bottom="979"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E6874"/>
        <w:sz w:val="16"/>
      </w:rPr>
      <w:t xml:space="preserve">AAC Block Plant Profitability in India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E6874"/>
        <w:sz w:val="16"/>
      </w:rPr>
      <w:t>LAXMI EN-FAB PVT. LTD.   |   AAC INVESTOR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0B17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0B1727"/>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C4F80"/>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926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4" w:lineRule="auto"/>
      <w:ind w:left="605" w:hanging="288"/>
      <w:contextualSpacing/>
    </w:pPr>
    <w:rPr>
      <w:rFonts w:ascii="Arial" w:hAnsi="Arial"/>
      <w:color w:val="0B1727"/>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4" w:lineRule="auto"/>
      <w:ind w:left="605" w:hanging="288"/>
      <w:contextualSpacing/>
    </w:pPr>
    <w:rPr>
      <w:rFonts w:ascii="Arial" w:hAnsi="Arial"/>
      <w:color w:val="0B1727"/>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the AAC Block Business Profitable in India?</dc:title>
  <dc:subject>Publication-ready AAC investor guide</dc:subject>
  <dc:creator>Laxmi En-Fab Pvt. Ltd.</dc:creator>
  <cp:keywords>AAC block business profitability India, AAC plant profitability, AAC plant feasibility</cp:keywords>
  <dc:description>generated by python-docx</dc:description>
  <cp:lastModifiedBy/>
  <cp:revision>1</cp:revision>
  <dcterms:created xsi:type="dcterms:W3CDTF">2013-12-23T23:15:00Z</dcterms:created>
  <dcterms:modified xsi:type="dcterms:W3CDTF">2013-12-23T23:15:00Z</dcterms:modified>
  <cp:category/>
</cp:coreProperties>
</file>