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AAC INVESTOR KNOWLEDGE SERIES</w:t>
      </w:r>
    </w:p>
    <w:p>
      <w:pPr>
        <w:pStyle w:val="Title"/>
      </w:pPr>
      <w:r>
        <w:t>AAC Block Government</w:t>
        <w:br/>
        <w:t>Policies in India</w:t>
      </w:r>
    </w:p>
    <w:p>
      <w:pPr>
        <w:pStyle w:val="Subtitle"/>
      </w:pPr>
      <w:r>
        <w:t>What investors should verify before committing capital</w:t>
      </w:r>
    </w:p>
    <w:p>
      <w:pPr>
        <w:spacing w:after="560"/>
      </w:pPr>
    </w:p>
    <w:tbl>
      <w:tblPr>
        <w:tblW w:type="dxa" w:w="9360"/>
        <w:jc w:val="left"/>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EEF2F5"/>
          </w:tcPr>
          <w:p>
            <w:pPr>
              <w:spacing w:after="60"/>
            </w:pPr>
            <w:r>
              <w:rPr>
                <w:rFonts w:ascii="Aptos" w:hAnsi="Aptos"/>
                <w:b/>
                <w:i w:val="0"/>
                <w:color w:val="0C4F80"/>
                <w:sz w:val="17"/>
              </w:rPr>
              <w:t xml:space="preserve">DIRECT ANSWER  </w:t>
            </w:r>
            <w:r>
              <w:rPr>
                <w:rFonts w:ascii="Aptos" w:hAnsi="Aptos"/>
                <w:b/>
                <w:i w:val="0"/>
                <w:color w:val="0B1727"/>
                <w:sz w:val="21"/>
              </w:rPr>
              <w:t>Government policy can support AAC demand, fly-ash utilisation and manufacturing investment—but no nationwide policy automatically guarantees every AAC plant a subsidy, assured fly ash or government orders.</w:t>
            </w:r>
          </w:p>
        </w:tc>
      </w:tr>
    </w:tbl>
    <w:p>
      <w:pPr>
        <w:spacing w:after="20"/>
      </w:pPr>
    </w:p>
    <w:p>
      <w:pPr>
        <w:widowControl/>
      </w:pPr>
      <w:r>
        <w:rPr>
          <w:rFonts w:ascii="Aptos" w:hAnsi="Aptos"/>
          <w:b w:val="0"/>
          <w:i w:val="0"/>
          <w:color w:val="0B1727"/>
          <w:sz w:val="21"/>
        </w:rPr>
        <w:t>For a new investor, the useful question is not simply, “Does the government support AAC?” The better question is: “Which policy applies to my proposed state, location, raw-material route, investment size and project timeline?”</w:t>
      </w:r>
    </w:p>
    <w:p>
      <w:pPr>
        <w:widowControl/>
      </w:pPr>
      <w:r>
        <w:rPr>
          <w:rFonts w:ascii="Aptos" w:hAnsi="Aptos"/>
          <w:b w:val="0"/>
          <w:i w:val="0"/>
          <w:color w:val="0B1727"/>
          <w:sz w:val="21"/>
        </w:rPr>
        <w:t>This guide separates verified central policy from state-specific incentives, explains the approvals that may affect plant planning and shows what should be confirmed before an incentive enters the project DPR.</w:t>
      </w:r>
    </w:p>
    <w:p>
      <w:pPr>
        <w:spacing w:before="360"/>
      </w:pPr>
      <w:r>
        <w:rPr>
          <w:rFonts w:ascii="Aptos" w:hAnsi="Aptos"/>
          <w:b/>
          <w:i w:val="0"/>
          <w:color w:val="0C4F80"/>
          <w:sz w:val="22"/>
        </w:rPr>
        <w:t>Prepared for serious AAC plant investors in India</w:t>
      </w:r>
    </w:p>
    <w:p>
      <w:r>
        <w:rPr>
          <w:rFonts w:ascii="Aptos" w:hAnsi="Aptos"/>
          <w:b w:val="0"/>
          <w:i w:val="0"/>
          <w:color w:val="84909C"/>
          <w:sz w:val="18"/>
        </w:rPr>
        <w:t>Policy information reviewed on 15 August 2026</w:t>
      </w:r>
    </w:p>
    <w:p>
      <w:r>
        <w:br w:type="page"/>
      </w:r>
    </w:p>
    <w:p>
      <w:pPr>
        <w:pStyle w:val="Eyebrow"/>
      </w:pPr>
      <w:r>
        <w:t>01  /  UNDERSTAND</w:t>
      </w:r>
    </w:p>
    <w:p>
      <w:pPr>
        <w:pStyle w:val="Heading1"/>
      </w:pPr>
      <w:r>
        <w:t>Government support is real. But mostly indirect.</w:t>
      </w:r>
    </w:p>
    <w:p>
      <w:pPr>
        <w:widowControl/>
      </w:pPr>
      <w:r>
        <w:rPr>
          <w:rFonts w:ascii="Aptos" w:hAnsi="Aptos"/>
          <w:b w:val="0"/>
          <w:i w:val="0"/>
          <w:color w:val="0B1727"/>
          <w:sz w:val="21"/>
        </w:rPr>
        <w:t>Several Indian policies and public programmes can support the adoption of resource-efficient building materials. Their practical effect on an AAC investment generally falls into four areas: raw-material utilisation, construction demand, building performance and product quality.</w:t>
      </w:r>
    </w:p>
    <w:p>
      <w:pPr>
        <w:pStyle w:val="Heading2"/>
      </w:pPr>
      <w:r>
        <w:t>Fly-ash utilisation</w:t>
      </w:r>
    </w:p>
    <w:p>
      <w:pPr>
        <w:widowControl/>
      </w:pPr>
      <w:r>
        <w:rPr>
          <w:rFonts w:ascii="Aptos" w:hAnsi="Aptos"/>
          <w:b w:val="0"/>
          <w:i w:val="0"/>
          <w:color w:val="0B1727"/>
          <w:sz w:val="21"/>
        </w:rPr>
        <w:t>The Ministry of Environment, Forest and Climate Change’s Ash Utilisation Notification, 2021 requires coal- and lignite-based thermal power plants to work towards prescribed ash-utilisation targets. The notification recognises bricks, blocks, boards and panels among permitted uses of ash.</w:t>
      </w:r>
    </w:p>
    <w:p>
      <w:pPr>
        <w:widowControl/>
      </w:pPr>
      <w:r>
        <w:rPr>
          <w:rFonts w:ascii="Aptos" w:hAnsi="Aptos"/>
          <w:b w:val="0"/>
          <w:i w:val="0"/>
          <w:color w:val="0B1727"/>
          <w:sz w:val="21"/>
        </w:rPr>
        <w:t>The notification does not, by itself, guarantee an AAC manufacturer:</w:t>
      </w:r>
    </w:p>
    <w:p>
      <w:pPr>
        <w:pStyle w:val="ListBullet"/>
        <w:spacing w:after="60" w:line="259" w:lineRule="auto"/>
        <w:ind w:left="403" w:hanging="259"/>
      </w:pPr>
      <w:r>
        <w:rPr>
          <w:rFonts w:ascii="Aptos" w:hAnsi="Aptos"/>
          <w:b w:val="0"/>
          <w:i w:val="0"/>
          <w:color w:val="0B1727"/>
          <w:sz w:val="20"/>
        </w:rPr>
        <w:t>Free fly ash or a fixed ash price</w:t>
      </w:r>
    </w:p>
    <w:p>
      <w:pPr>
        <w:pStyle w:val="ListBullet"/>
        <w:spacing w:after="60" w:line="259" w:lineRule="auto"/>
        <w:ind w:left="403" w:hanging="259"/>
      </w:pPr>
      <w:r>
        <w:rPr>
          <w:rFonts w:ascii="Aptos" w:hAnsi="Aptos"/>
          <w:b w:val="0"/>
          <w:i w:val="0"/>
          <w:color w:val="0B1727"/>
          <w:sz w:val="20"/>
        </w:rPr>
        <w:t>A particular ash quantity, quality or long-term allocation</w:t>
      </w:r>
    </w:p>
    <w:p>
      <w:pPr>
        <w:pStyle w:val="ListBullet"/>
        <w:spacing w:after="60" w:line="259" w:lineRule="auto"/>
        <w:ind w:left="403" w:hanging="259"/>
      </w:pPr>
      <w:r>
        <w:rPr>
          <w:rFonts w:ascii="Aptos" w:hAnsi="Aptos"/>
          <w:b w:val="0"/>
          <w:i w:val="0"/>
          <w:color w:val="0B1727"/>
          <w:sz w:val="20"/>
        </w:rPr>
        <w:t>Free loading, conditioning or transportation</w:t>
      </w:r>
    </w:p>
    <w:p>
      <w:pPr>
        <w:pStyle w:val="ListBullet"/>
        <w:spacing w:after="60" w:line="259" w:lineRule="auto"/>
        <w:ind w:left="403" w:hanging="259"/>
      </w:pPr>
      <w:r>
        <w:rPr>
          <w:rFonts w:ascii="Aptos" w:hAnsi="Aptos"/>
          <w:b w:val="0"/>
          <w:i w:val="0"/>
          <w:color w:val="0B1727"/>
          <w:sz w:val="20"/>
        </w:rPr>
        <w:t>An AAC-specific capital subsidy</w:t>
      </w:r>
    </w:p>
    <w:tbl>
      <w:tblPr>
        <w:tblW w:type="dxa" w:w="9360"/>
        <w:jc w:val="left"/>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5F7F8"/>
          </w:tcPr>
          <w:p>
            <w:pPr>
              <w:spacing w:after="60"/>
            </w:pPr>
            <w:r>
              <w:rPr>
                <w:rFonts w:ascii="Aptos" w:hAnsi="Aptos"/>
                <w:b/>
                <w:i w:val="0"/>
                <w:color w:val="0C4F80"/>
                <w:sz w:val="17"/>
              </w:rPr>
              <w:t xml:space="preserve">INVESTOR TAKEAWAY  </w:t>
            </w:r>
            <w:r>
              <w:rPr>
                <w:rFonts w:ascii="Aptos" w:hAnsi="Aptos"/>
                <w:b/>
                <w:i w:val="0"/>
                <w:color w:val="0B1727"/>
                <w:sz w:val="21"/>
              </w:rPr>
              <w:t>Treat fly-ash policy as a sourcing opportunity—not as a confirmed raw-material entitlement.</w:t>
            </w:r>
          </w:p>
        </w:tc>
      </w:tr>
    </w:tbl>
    <w:p>
      <w:pPr>
        <w:spacing w:after="20"/>
      </w:pPr>
    </w:p>
    <w:p>
      <w:pPr>
        <w:pStyle w:val="Heading2"/>
      </w:pPr>
      <w:r>
        <w:t>Housing and public construction</w:t>
      </w:r>
    </w:p>
    <w:p>
      <w:pPr>
        <w:widowControl/>
      </w:pPr>
      <w:r>
        <w:rPr>
          <w:rFonts w:ascii="Aptos" w:hAnsi="Aptos"/>
          <w:b w:val="0"/>
          <w:i w:val="0"/>
          <w:color w:val="0B1727"/>
          <w:sz w:val="21"/>
        </w:rPr>
        <w:t>The Ministry of Housing and Urban Affairs has reported the use of AAC blocks alongside other sustainable materials in PMAY-U housing projects. This demonstrates practical public-sector acceptance of AAC, but it does not establish a nationwide rule requiring every PMAY or government project to use AAC.</w:t>
      </w:r>
    </w:p>
    <w:p>
      <w:pPr>
        <w:widowControl/>
      </w:pPr>
      <w:r>
        <w:rPr>
          <w:rFonts w:ascii="Aptos" w:hAnsi="Aptos"/>
          <w:b w:val="0"/>
          <w:i w:val="0"/>
          <w:color w:val="0B1727"/>
          <w:sz w:val="21"/>
        </w:rPr>
        <w:t>Actual material selection depends on project specifications, structural design, procurement conditions and tender requirements.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5F7F8"/>
          </w:tcPr>
          <w:p>
            <w:pPr>
              <w:spacing w:after="60"/>
            </w:pPr>
            <w:r>
              <w:rPr>
                <w:rFonts w:ascii="Aptos" w:hAnsi="Aptos"/>
                <w:b/>
                <w:i w:val="0"/>
                <w:color w:val="0C4F80"/>
                <w:sz w:val="17"/>
              </w:rPr>
              <w:t xml:space="preserve">INVESTOR TAKEAWAY  </w:t>
            </w:r>
            <w:r>
              <w:rPr>
                <w:rFonts w:ascii="Aptos" w:hAnsi="Aptos"/>
                <w:b/>
                <w:i w:val="0"/>
                <w:color w:val="0B1727"/>
                <w:sz w:val="21"/>
              </w:rPr>
              <w:t>Government construction may support regional demand, but it cannot replace a state- and district-level market study.</w:t>
            </w:r>
          </w:p>
        </w:tc>
      </w:tr>
    </w:tbl>
    <w:p>
      <w:pPr>
        <w:spacing w:after="20"/>
      </w:pPr>
    </w:p>
    <w:p>
      <w:pPr>
        <w:pStyle w:val="Heading2"/>
      </w:pPr>
      <w:r>
        <w:t>Building energy performance</w:t>
      </w:r>
    </w:p>
    <w:p>
      <w:pPr>
        <w:widowControl/>
      </w:pPr>
      <w:r>
        <w:rPr>
          <w:rFonts w:ascii="Aptos" w:hAnsi="Aptos"/>
          <w:b w:val="0"/>
          <w:i w:val="0"/>
          <w:color w:val="0B1727"/>
          <w:sz w:val="21"/>
        </w:rPr>
        <w:t>Energy codes and green-building frameworks can encourage walling systems with suitable thermal performance. AAC may contribute when the complete wall assembly satisfies the applicable design criteria. Block density, wall thickness, mortar, plaster, junctions, workmanship and climate zone can influence the final result.</w:t>
      </w:r>
    </w:p>
    <w:tbl>
      <w:tblPr>
        <w:tblW w:type="dxa" w:w="9360"/>
        <w:jc w:val="left"/>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5F7F8"/>
          </w:tcPr>
          <w:p>
            <w:pPr>
              <w:spacing w:after="60"/>
            </w:pPr>
            <w:r>
              <w:rPr>
                <w:rFonts w:ascii="Aptos" w:hAnsi="Aptos"/>
                <w:b/>
                <w:i w:val="0"/>
                <w:color w:val="0C4F80"/>
                <w:sz w:val="17"/>
              </w:rPr>
              <w:t xml:space="preserve">INVESTOR TAKEAWAY  </w:t>
            </w:r>
            <w:r>
              <w:rPr>
                <w:rFonts w:ascii="Aptos" w:hAnsi="Aptos"/>
                <w:b/>
                <w:i w:val="0"/>
                <w:color w:val="0B1727"/>
                <w:sz w:val="21"/>
              </w:rPr>
              <w:t>Do not describe AAC as automatically making a building energy-code compliant.</w:t>
            </w:r>
          </w:p>
        </w:tc>
      </w:tr>
    </w:tbl>
    <w:p>
      <w:pPr>
        <w:spacing w:after="20"/>
      </w:pPr>
    </w:p>
    <w:p>
      <w:pPr>
        <w:pStyle w:val="Heading2"/>
      </w:pPr>
      <w:r>
        <w:t>Product quality and testing</w:t>
      </w:r>
    </w:p>
    <w:p>
      <w:pPr>
        <w:widowControl/>
      </w:pPr>
      <w:r>
        <w:rPr>
          <w:rFonts w:ascii="Aptos" w:hAnsi="Aptos"/>
          <w:b w:val="0"/>
          <w:i w:val="0"/>
          <w:color w:val="0B1727"/>
          <w:sz w:val="21"/>
        </w:rPr>
        <w:t>The principal Indian Standard identified by BIS for AAC blocks is IS 2185 (Part 3):1984 — Concrete Masonry Units, Part 3: Autoclaved Cellular Aerated Concrete Blocks. The standard covers product requirements and testing areas including dimensions, density, compressive strength, thermal conductivity and drying shrinkage.</w:t>
      </w:r>
    </w:p>
    <w:p>
      <w:pPr>
        <w:widowControl/>
      </w:pPr>
      <w:r>
        <w:rPr>
          <w:rFonts w:ascii="Aptos" w:hAnsi="Aptos"/>
          <w:b w:val="0"/>
          <w:i w:val="0"/>
          <w:color w:val="0B1727"/>
          <w:sz w:val="21"/>
        </w:rPr>
        <w:t>BIS currently identifies certification against this standard as voluntary. However, certification or third-party testing may still be required by a customer, tender, consultant or procurement specification. Any current Quality Control Order must be checked separately before production.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F5F7F8"/>
          </w:tcPr>
          <w:p>
            <w:pPr>
              <w:spacing w:after="60"/>
            </w:pPr>
            <w:r>
              <w:rPr>
                <w:rFonts w:ascii="Aptos" w:hAnsi="Aptos"/>
                <w:b/>
                <w:i w:val="0"/>
                <w:color w:val="0C4F80"/>
                <w:sz w:val="17"/>
              </w:rPr>
              <w:t xml:space="preserve">INVESTOR TAKEAWAY  </w:t>
            </w:r>
            <w:r>
              <w:rPr>
                <w:rFonts w:ascii="Aptos" w:hAnsi="Aptos"/>
                <w:b/>
                <w:i w:val="0"/>
                <w:color w:val="0B1727"/>
                <w:sz w:val="21"/>
              </w:rPr>
              <w:t>Design the laboratory, process-control and testing system around the intended product grade and customer requirements—not a generic strength or density claim.</w:t>
            </w:r>
          </w:p>
        </w:tc>
      </w:tr>
    </w:tbl>
    <w:p>
      <w:pPr>
        <w:spacing w:after="20"/>
      </w:pPr>
    </w:p>
    <w:p>
      <w:pPr>
        <w:pStyle w:val="Eyebrow"/>
      </w:pPr>
      <w:r>
        <w:t>02  /  VERIFY</w:t>
      </w:r>
    </w:p>
    <w:p>
      <w:pPr>
        <w:pStyle w:val="Heading1"/>
      </w:pPr>
      <w:r>
        <w:t>An incentive is not confirmed until eligibility is confirmed.</w:t>
      </w:r>
    </w:p>
    <w:p>
      <w:pPr>
        <w:widowControl/>
      </w:pPr>
      <w:r>
        <w:rPr>
          <w:rFonts w:ascii="Aptos" w:hAnsi="Aptos"/>
          <w:b w:val="0"/>
          <w:i w:val="0"/>
          <w:color w:val="0B1727"/>
          <w:sz w:val="21"/>
        </w:rPr>
        <w:t>An AAC project may potentially qualify for general industrial or MSME incentives offered by a state or the Central Government. These are normally not AAC-specific benefits.</w:t>
      </w:r>
    </w:p>
    <w:p>
      <w:pPr>
        <w:widowControl/>
      </w:pPr>
      <w:r>
        <w:rPr>
          <w:rFonts w:ascii="Aptos" w:hAnsi="Aptos"/>
          <w:b w:val="0"/>
          <w:i w:val="0"/>
          <w:color w:val="0B1727"/>
          <w:sz w:val="21"/>
        </w:rPr>
        <w:t>Depending on the applicable policy, possible benefits may include capital or interest assistance, electricity-duty relief, stamp-duty benefits, employment-linked support, SGST-related reimbursement, and technology or quality assistance.</w:t>
      </w:r>
    </w:p>
    <w:p>
      <w:pPr>
        <w:widowControl/>
      </w:pPr>
      <w:r>
        <w:rPr>
          <w:rFonts w:ascii="Aptos" w:hAnsi="Aptos"/>
          <w:b w:val="0"/>
          <w:i w:val="0"/>
          <w:color w:val="0B1727"/>
          <w:sz w:val="21"/>
        </w:rPr>
        <w:t>Availability does not mean automatic approval. Conditions may relate to enterprise classification, investment size, location, eligible machinery, employment, production date, application timing, reimbursement caps and continuing compliance.</w:t>
      </w:r>
    </w:p>
    <w:p>
      <w:pPr>
        <w:pStyle w:val="Heading2"/>
      </w:pPr>
      <w:r>
        <w:t>Central policy and state incentive are not the same</w:t>
      </w:r>
    </w:p>
    <w:tbl>
      <w:tblPr>
        <w:tblStyle w:val="TableGrid"/>
        <w:tblW w:type="dxa" w:w="9360"/>
        <w:jc w:val="left"/>
        <w:tblLayout w:type="fixed"/>
        <w:tblLook w:firstColumn="1" w:firstRow="1" w:lastColumn="0" w:lastRow="0" w:noHBand="0" w:noVBand="1" w:val="04A0"/>
        <w:tblInd w:w="120" w:type="dxa"/>
      </w:tblPr>
      <w:tblGrid>
        <w:gridCol w:w="2200"/>
        <w:gridCol w:w="3500"/>
        <w:gridCol w:w="3660"/>
      </w:tblGrid>
      <w:tr>
        <w:trPr>
          <w:tblHeader w:val="true"/>
        </w:trPr>
        <w:tc>
          <w:tcPr>
            <w:tcW w:type="dxa" w:w="2200"/>
            <w:shd w:fill="0B1727"/>
            <w:tcMar>
              <w:top w:w="100" w:type="dxa"/>
              <w:start w:w="120" w:type="dxa"/>
              <w:bottom w:w="100" w:type="dxa"/>
              <w:end w:w="120" w:type="dxa"/>
            </w:tcMar>
            <w:vAlign w:val="center"/>
          </w:tcPr>
          <w:p>
            <w:pPr>
              <w:spacing w:after="0"/>
            </w:pPr>
            <w:r>
              <w:rPr>
                <w:rFonts w:ascii="Aptos" w:hAnsi="Aptos"/>
                <w:b/>
                <w:i w:val="0"/>
                <w:color w:val="FFFFFF"/>
                <w:sz w:val="18"/>
              </w:rPr>
              <w:t>Policy area</w:t>
            </w:r>
          </w:p>
        </w:tc>
        <w:tc>
          <w:tcPr>
            <w:tcW w:type="dxa" w:w="3500"/>
            <w:shd w:fill="0B1727"/>
            <w:tcMar>
              <w:top w:w="100" w:type="dxa"/>
              <w:start w:w="120" w:type="dxa"/>
              <w:bottom w:w="100" w:type="dxa"/>
              <w:end w:w="120" w:type="dxa"/>
            </w:tcMar>
            <w:vAlign w:val="center"/>
          </w:tcPr>
          <w:p>
            <w:pPr>
              <w:spacing w:after="0"/>
            </w:pPr>
            <w:r>
              <w:rPr>
                <w:rFonts w:ascii="Aptos" w:hAnsi="Aptos"/>
                <w:b/>
                <w:i w:val="0"/>
                <w:color w:val="FFFFFF"/>
                <w:sz w:val="18"/>
              </w:rPr>
              <w:t>What it may influence</w:t>
            </w:r>
          </w:p>
        </w:tc>
        <w:tc>
          <w:tcPr>
            <w:tcW w:type="dxa" w:w="3660"/>
            <w:shd w:fill="0B1727"/>
            <w:tcMar>
              <w:top w:w="100" w:type="dxa"/>
              <w:start w:w="120" w:type="dxa"/>
              <w:bottom w:w="100" w:type="dxa"/>
              <w:end w:w="120" w:type="dxa"/>
            </w:tcMar>
            <w:vAlign w:val="center"/>
          </w:tcPr>
          <w:p>
            <w:pPr>
              <w:spacing w:after="0"/>
            </w:pPr>
            <w:r>
              <w:rPr>
                <w:rFonts w:ascii="Aptos" w:hAnsi="Aptos"/>
                <w:b/>
                <w:i w:val="0"/>
                <w:color w:val="FFFFFF"/>
                <w:sz w:val="18"/>
              </w:rPr>
              <w:t>What it does not guarantee</w:t>
            </w:r>
          </w:p>
        </w:tc>
      </w:tr>
      <w:tr>
        <w:tc>
          <w:tcPr>
            <w:tcW w:type="dxa" w:w="2200"/>
            <w:tcMar>
              <w:top w:w="100" w:type="dxa"/>
              <w:start w:w="120" w:type="dxa"/>
              <w:bottom w:w="100" w:type="dxa"/>
              <w:end w:w="120" w:type="dxa"/>
            </w:tcMar>
            <w:vAlign w:val="center"/>
          </w:tcPr>
          <w:p>
            <w:pPr>
              <w:spacing w:after="0" w:line="252" w:lineRule="auto"/>
            </w:pPr>
            <w:r>
              <w:rPr>
                <w:rFonts w:ascii="Aptos" w:hAnsi="Aptos"/>
                <w:b w:val="0"/>
                <w:i w:val="0"/>
                <w:color w:val="0B1727"/>
                <w:sz w:val="17"/>
              </w:rPr>
              <w:t>Ash Utilisation Notification</w:t>
            </w:r>
          </w:p>
        </w:tc>
        <w:tc>
          <w:tcPr>
            <w:tcW w:type="dxa" w:w="3500"/>
            <w:tcMar>
              <w:top w:w="100" w:type="dxa"/>
              <w:start w:w="120" w:type="dxa"/>
              <w:bottom w:w="100" w:type="dxa"/>
              <w:end w:w="120" w:type="dxa"/>
            </w:tcMar>
            <w:vAlign w:val="center"/>
          </w:tcPr>
          <w:p>
            <w:pPr>
              <w:spacing w:after="0" w:line="252" w:lineRule="auto"/>
            </w:pPr>
            <w:r>
              <w:rPr>
                <w:rFonts w:ascii="Aptos" w:hAnsi="Aptos"/>
                <w:b w:val="0"/>
                <w:i w:val="0"/>
                <w:color w:val="0B1727"/>
                <w:sz w:val="17"/>
              </w:rPr>
              <w:t>Fly-ash utilisation and sourcing discussions</w:t>
            </w:r>
          </w:p>
        </w:tc>
        <w:tc>
          <w:tcPr>
            <w:tcW w:type="dxa" w:w="3660"/>
            <w:tcMar>
              <w:top w:w="100" w:type="dxa"/>
              <w:start w:w="120" w:type="dxa"/>
              <w:bottom w:w="100" w:type="dxa"/>
              <w:end w:w="120" w:type="dxa"/>
            </w:tcMar>
            <w:vAlign w:val="center"/>
          </w:tcPr>
          <w:p>
            <w:pPr>
              <w:spacing w:after="0" w:line="252" w:lineRule="auto"/>
            </w:pPr>
            <w:r>
              <w:rPr>
                <w:rFonts w:ascii="Aptos" w:hAnsi="Aptos"/>
                <w:b w:val="0"/>
                <w:i w:val="0"/>
                <w:color w:val="0B1727"/>
                <w:sz w:val="17"/>
              </w:rPr>
              <w:t>Free or assured fly ash</w:t>
            </w:r>
          </w:p>
        </w:tc>
      </w:tr>
      <w:tr>
        <w:tc>
          <w:tcPr>
            <w:tcW w:type="dxa" w:w="2200"/>
            <w:shd w:fill="F5F7F8"/>
            <w:tcMar>
              <w:top w:w="100" w:type="dxa"/>
              <w:start w:w="120" w:type="dxa"/>
              <w:bottom w:w="100" w:type="dxa"/>
              <w:end w:w="120" w:type="dxa"/>
            </w:tcMar>
            <w:vAlign w:val="center"/>
          </w:tcPr>
          <w:p>
            <w:pPr>
              <w:spacing w:after="0" w:line="252" w:lineRule="auto"/>
            </w:pPr>
            <w:r>
              <w:rPr>
                <w:rFonts w:ascii="Aptos" w:hAnsi="Aptos"/>
                <w:b w:val="0"/>
                <w:i w:val="0"/>
                <w:color w:val="0B1727"/>
                <w:sz w:val="17"/>
              </w:rPr>
              <w:t>State industrial policy</w:t>
            </w:r>
          </w:p>
        </w:tc>
        <w:tc>
          <w:tcPr>
            <w:tcW w:type="dxa" w:w="3500"/>
            <w:shd w:fill="F5F7F8"/>
            <w:tcMar>
              <w:top w:w="100" w:type="dxa"/>
              <w:start w:w="120" w:type="dxa"/>
              <w:bottom w:w="100" w:type="dxa"/>
              <w:end w:w="120" w:type="dxa"/>
            </w:tcMar>
            <w:vAlign w:val="center"/>
          </w:tcPr>
          <w:p>
            <w:pPr>
              <w:spacing w:after="0" w:line="252" w:lineRule="auto"/>
            </w:pPr>
            <w:r>
              <w:rPr>
                <w:rFonts w:ascii="Aptos" w:hAnsi="Aptos"/>
                <w:b w:val="0"/>
                <w:i w:val="0"/>
                <w:color w:val="0B1727"/>
                <w:sz w:val="17"/>
              </w:rPr>
              <w:t>Eligibility for specified manufacturing incentives</w:t>
            </w:r>
          </w:p>
        </w:tc>
        <w:tc>
          <w:tcPr>
            <w:tcW w:type="dxa" w:w="3660"/>
            <w:shd w:fill="F5F7F8"/>
            <w:tcMar>
              <w:top w:w="100" w:type="dxa"/>
              <w:start w:w="120" w:type="dxa"/>
              <w:bottom w:w="100" w:type="dxa"/>
              <w:end w:w="120" w:type="dxa"/>
            </w:tcMar>
            <w:vAlign w:val="center"/>
          </w:tcPr>
          <w:p>
            <w:pPr>
              <w:spacing w:after="0" w:line="252" w:lineRule="auto"/>
            </w:pPr>
            <w:r>
              <w:rPr>
                <w:rFonts w:ascii="Aptos" w:hAnsi="Aptos"/>
                <w:b w:val="0"/>
                <w:i w:val="0"/>
                <w:color w:val="0B1727"/>
                <w:sz w:val="17"/>
              </w:rPr>
              <w:t>Automatic sanction</w:t>
            </w:r>
          </w:p>
        </w:tc>
      </w:tr>
      <w:tr>
        <w:tc>
          <w:tcPr>
            <w:tcW w:type="dxa" w:w="2200"/>
            <w:tcMar>
              <w:top w:w="100" w:type="dxa"/>
              <w:start w:w="120" w:type="dxa"/>
              <w:bottom w:w="100" w:type="dxa"/>
              <w:end w:w="120" w:type="dxa"/>
            </w:tcMar>
            <w:vAlign w:val="center"/>
          </w:tcPr>
          <w:p>
            <w:pPr>
              <w:spacing w:after="0" w:line="252" w:lineRule="auto"/>
            </w:pPr>
            <w:r>
              <w:rPr>
                <w:rFonts w:ascii="Aptos" w:hAnsi="Aptos"/>
                <w:b w:val="0"/>
                <w:i w:val="0"/>
                <w:color w:val="0B1727"/>
                <w:sz w:val="17"/>
              </w:rPr>
              <w:t>MSME schemes</w:t>
            </w:r>
          </w:p>
        </w:tc>
        <w:tc>
          <w:tcPr>
            <w:tcW w:type="dxa" w:w="3500"/>
            <w:tcMar>
              <w:top w:w="100" w:type="dxa"/>
              <w:start w:w="120" w:type="dxa"/>
              <w:bottom w:w="100" w:type="dxa"/>
              <w:end w:w="120" w:type="dxa"/>
            </w:tcMar>
            <w:vAlign w:val="center"/>
          </w:tcPr>
          <w:p>
            <w:pPr>
              <w:spacing w:after="0" w:line="252" w:lineRule="auto"/>
            </w:pPr>
            <w:r>
              <w:rPr>
                <w:rFonts w:ascii="Aptos" w:hAnsi="Aptos"/>
                <w:b w:val="0"/>
                <w:i w:val="0"/>
                <w:color w:val="0B1727"/>
                <w:sz w:val="17"/>
              </w:rPr>
              <w:t>Access to applicable MSME support</w:t>
            </w:r>
          </w:p>
        </w:tc>
        <w:tc>
          <w:tcPr>
            <w:tcW w:type="dxa" w:w="3660"/>
            <w:tcMar>
              <w:top w:w="100" w:type="dxa"/>
              <w:start w:w="120" w:type="dxa"/>
              <w:bottom w:w="100" w:type="dxa"/>
              <w:end w:w="120" w:type="dxa"/>
            </w:tcMar>
            <w:vAlign w:val="center"/>
          </w:tcPr>
          <w:p>
            <w:pPr>
              <w:spacing w:after="0" w:line="252" w:lineRule="auto"/>
            </w:pPr>
            <w:r>
              <w:rPr>
                <w:rFonts w:ascii="Aptos" w:hAnsi="Aptos"/>
                <w:b w:val="0"/>
                <w:i w:val="0"/>
                <w:color w:val="0B1727"/>
                <w:sz w:val="17"/>
              </w:rPr>
              <w:t>An AAC-specific subsidy</w:t>
            </w:r>
          </w:p>
        </w:tc>
      </w:tr>
      <w:tr>
        <w:tc>
          <w:tcPr>
            <w:tcW w:type="dxa" w:w="2200"/>
            <w:shd w:fill="F5F7F8"/>
            <w:tcMar>
              <w:top w:w="100" w:type="dxa"/>
              <w:start w:w="120" w:type="dxa"/>
              <w:bottom w:w="100" w:type="dxa"/>
              <w:end w:w="120" w:type="dxa"/>
            </w:tcMar>
            <w:vAlign w:val="center"/>
          </w:tcPr>
          <w:p>
            <w:pPr>
              <w:spacing w:after="0" w:line="252" w:lineRule="auto"/>
            </w:pPr>
            <w:r>
              <w:rPr>
                <w:rFonts w:ascii="Aptos" w:hAnsi="Aptos"/>
                <w:b w:val="0"/>
                <w:i w:val="0"/>
                <w:color w:val="0B1727"/>
                <w:sz w:val="17"/>
              </w:rPr>
              <w:t>BIS standard</w:t>
            </w:r>
          </w:p>
        </w:tc>
        <w:tc>
          <w:tcPr>
            <w:tcW w:type="dxa" w:w="3500"/>
            <w:shd w:fill="F5F7F8"/>
            <w:tcMar>
              <w:top w:w="100" w:type="dxa"/>
              <w:start w:w="120" w:type="dxa"/>
              <w:bottom w:w="100" w:type="dxa"/>
              <w:end w:w="120" w:type="dxa"/>
            </w:tcMar>
            <w:vAlign w:val="center"/>
          </w:tcPr>
          <w:p>
            <w:pPr>
              <w:spacing w:after="0" w:line="252" w:lineRule="auto"/>
            </w:pPr>
            <w:r>
              <w:rPr>
                <w:rFonts w:ascii="Aptos" w:hAnsi="Aptos"/>
                <w:b w:val="0"/>
                <w:i w:val="0"/>
                <w:color w:val="0B1727"/>
                <w:sz w:val="17"/>
              </w:rPr>
              <w:t>Product conformity and testing</w:t>
            </w:r>
          </w:p>
        </w:tc>
        <w:tc>
          <w:tcPr>
            <w:tcW w:type="dxa" w:w="3660"/>
            <w:shd w:fill="F5F7F8"/>
            <w:tcMar>
              <w:top w:w="100" w:type="dxa"/>
              <w:start w:w="120" w:type="dxa"/>
              <w:bottom w:w="100" w:type="dxa"/>
              <w:end w:w="120" w:type="dxa"/>
            </w:tcMar>
            <w:vAlign w:val="center"/>
          </w:tcPr>
          <w:p>
            <w:pPr>
              <w:spacing w:after="0" w:line="252" w:lineRule="auto"/>
            </w:pPr>
            <w:r>
              <w:rPr>
                <w:rFonts w:ascii="Aptos" w:hAnsi="Aptos"/>
                <w:b w:val="0"/>
                <w:i w:val="0"/>
                <w:color w:val="0B1727"/>
                <w:sz w:val="17"/>
              </w:rPr>
              <w:t>Commercial plant viability</w:t>
            </w:r>
          </w:p>
        </w:tc>
      </w:tr>
      <w:tr>
        <w:tc>
          <w:tcPr>
            <w:tcW w:type="dxa" w:w="2200"/>
            <w:tcMar>
              <w:top w:w="100" w:type="dxa"/>
              <w:start w:w="120" w:type="dxa"/>
              <w:bottom w:w="100" w:type="dxa"/>
              <w:end w:w="120" w:type="dxa"/>
            </w:tcMar>
            <w:vAlign w:val="center"/>
          </w:tcPr>
          <w:p>
            <w:pPr>
              <w:spacing w:after="0" w:line="252" w:lineRule="auto"/>
            </w:pPr>
            <w:r>
              <w:rPr>
                <w:rFonts w:ascii="Aptos" w:hAnsi="Aptos"/>
                <w:b w:val="0"/>
                <w:i w:val="0"/>
                <w:color w:val="0B1727"/>
                <w:sz w:val="17"/>
              </w:rPr>
              <w:t>Housing programmes</w:t>
            </w:r>
          </w:p>
        </w:tc>
        <w:tc>
          <w:tcPr>
            <w:tcW w:type="dxa" w:w="3500"/>
            <w:tcMar>
              <w:top w:w="100" w:type="dxa"/>
              <w:start w:w="120" w:type="dxa"/>
              <w:bottom w:w="100" w:type="dxa"/>
              <w:end w:w="120" w:type="dxa"/>
            </w:tcMar>
            <w:vAlign w:val="center"/>
          </w:tcPr>
          <w:p>
            <w:pPr>
              <w:spacing w:after="0" w:line="252" w:lineRule="auto"/>
            </w:pPr>
            <w:r>
              <w:rPr>
                <w:rFonts w:ascii="Aptos" w:hAnsi="Aptos"/>
                <w:b w:val="0"/>
                <w:i w:val="0"/>
                <w:color w:val="0B1727"/>
                <w:sz w:val="17"/>
              </w:rPr>
              <w:t>Potential construction demand</w:t>
            </w:r>
          </w:p>
        </w:tc>
        <w:tc>
          <w:tcPr>
            <w:tcW w:type="dxa" w:w="3660"/>
            <w:tcMar>
              <w:top w:w="100" w:type="dxa"/>
              <w:start w:w="120" w:type="dxa"/>
              <w:bottom w:w="100" w:type="dxa"/>
              <w:end w:w="120" w:type="dxa"/>
            </w:tcMar>
            <w:vAlign w:val="center"/>
          </w:tcPr>
          <w:p>
            <w:pPr>
              <w:spacing w:after="0" w:line="252" w:lineRule="auto"/>
            </w:pPr>
            <w:r>
              <w:rPr>
                <w:rFonts w:ascii="Aptos" w:hAnsi="Aptos"/>
                <w:b w:val="0"/>
                <w:i w:val="0"/>
                <w:color w:val="0B1727"/>
                <w:sz w:val="17"/>
              </w:rPr>
              <w:t>Guaranteed AAC purchase</w:t>
            </w:r>
          </w:p>
        </w:tc>
      </w:tr>
      <w:tr>
        <w:tc>
          <w:tcPr>
            <w:tcW w:type="dxa" w:w="2200"/>
            <w:shd w:fill="F5F7F8"/>
            <w:tcMar>
              <w:top w:w="100" w:type="dxa"/>
              <w:start w:w="120" w:type="dxa"/>
              <w:bottom w:w="100" w:type="dxa"/>
              <w:end w:w="120" w:type="dxa"/>
            </w:tcMar>
            <w:vAlign w:val="center"/>
          </w:tcPr>
          <w:p>
            <w:pPr>
              <w:spacing w:after="0" w:line="252" w:lineRule="auto"/>
            </w:pPr>
            <w:r>
              <w:rPr>
                <w:rFonts w:ascii="Aptos" w:hAnsi="Aptos"/>
                <w:b w:val="0"/>
                <w:i w:val="0"/>
                <w:color w:val="0B1727"/>
                <w:sz w:val="17"/>
              </w:rPr>
              <w:t>Green-building frameworks</w:t>
            </w:r>
          </w:p>
        </w:tc>
        <w:tc>
          <w:tcPr>
            <w:tcW w:type="dxa" w:w="3500"/>
            <w:shd w:fill="F5F7F8"/>
            <w:tcMar>
              <w:top w:w="100" w:type="dxa"/>
              <w:start w:w="120" w:type="dxa"/>
              <w:bottom w:w="100" w:type="dxa"/>
              <w:end w:w="120" w:type="dxa"/>
            </w:tcMar>
            <w:vAlign w:val="center"/>
          </w:tcPr>
          <w:p>
            <w:pPr>
              <w:spacing w:after="0" w:line="252" w:lineRule="auto"/>
            </w:pPr>
            <w:r>
              <w:rPr>
                <w:rFonts w:ascii="Aptos" w:hAnsi="Aptos"/>
                <w:b w:val="0"/>
                <w:i w:val="0"/>
                <w:color w:val="0B1727"/>
                <w:sz w:val="17"/>
              </w:rPr>
              <w:t>Recognition of qualifying performance</w:t>
            </w:r>
          </w:p>
        </w:tc>
        <w:tc>
          <w:tcPr>
            <w:tcW w:type="dxa" w:w="3660"/>
            <w:shd w:fill="F5F7F8"/>
            <w:tcMar>
              <w:top w:w="100" w:type="dxa"/>
              <w:start w:w="120" w:type="dxa"/>
              <w:bottom w:w="100" w:type="dxa"/>
              <w:end w:w="120" w:type="dxa"/>
            </w:tcMar>
            <w:vAlign w:val="center"/>
          </w:tcPr>
          <w:p>
            <w:pPr>
              <w:spacing w:after="0" w:line="252" w:lineRule="auto"/>
            </w:pPr>
            <w:r>
              <w:rPr>
                <w:rFonts w:ascii="Aptos" w:hAnsi="Aptos"/>
                <w:b w:val="0"/>
                <w:i w:val="0"/>
                <w:color w:val="0B1727"/>
                <w:sz w:val="17"/>
              </w:rPr>
              <w:t>Automatic certification</w:t>
            </w:r>
          </w:p>
        </w:tc>
      </w:tr>
    </w:tbl>
    <w:p>
      <w:pPr>
        <w:spacing w:after="20"/>
      </w:pPr>
    </w:p>
    <w:p>
      <w:pPr>
        <w:pStyle w:val="Heading2"/>
      </w:pPr>
      <w:r>
        <w:t>Indicative approval roadmap</w:t>
      </w:r>
    </w:p>
    <w:p>
      <w:pPr>
        <w:widowControl/>
      </w:pPr>
      <w:r>
        <w:rPr>
          <w:rFonts w:ascii="Aptos" w:hAnsi="Aptos"/>
          <w:b w:val="0"/>
          <w:i w:val="0"/>
          <w:color w:val="0B1727"/>
          <w:sz w:val="21"/>
        </w:rPr>
        <w:t>Requirements vary by state, site, fuel, capacity and plant configuration. Obtain state-specific professional advice and review the following areas.</w:t>
      </w:r>
    </w:p>
    <w:p>
      <w:pPr>
        <w:pStyle w:val="Heading3"/>
      </w:pPr>
      <w:r>
        <w:t>Before land and machinery commitment</w:t>
      </w:r>
    </w:p>
    <w:p>
      <w:pPr>
        <w:pStyle w:val="ListBullet"/>
        <w:spacing w:after="60" w:line="259" w:lineRule="auto"/>
        <w:ind w:left="403" w:hanging="259"/>
      </w:pPr>
      <w:r>
        <w:rPr>
          <w:rFonts w:ascii="Aptos" w:hAnsi="Aptos"/>
          <w:b w:val="0"/>
          <w:i w:val="0"/>
          <w:color w:val="0B1727"/>
          <w:sz w:val="20"/>
        </w:rPr>
        <w:t>Industrial land use and zoning</w:t>
      </w:r>
    </w:p>
    <w:p>
      <w:pPr>
        <w:pStyle w:val="ListBullet"/>
        <w:spacing w:after="60" w:line="259" w:lineRule="auto"/>
        <w:ind w:left="403" w:hanging="259"/>
      </w:pPr>
      <w:r>
        <w:rPr>
          <w:rFonts w:ascii="Aptos" w:hAnsi="Aptos"/>
          <w:b w:val="0"/>
          <w:i w:val="0"/>
          <w:color w:val="0B1727"/>
          <w:sz w:val="20"/>
        </w:rPr>
        <w:t>Raw-material availability and transport access</w:t>
      </w:r>
    </w:p>
    <w:p>
      <w:pPr>
        <w:pStyle w:val="ListBullet"/>
        <w:spacing w:after="60" w:line="259" w:lineRule="auto"/>
        <w:ind w:left="403" w:hanging="259"/>
      </w:pPr>
      <w:r>
        <w:rPr>
          <w:rFonts w:ascii="Aptos" w:hAnsi="Aptos"/>
          <w:b w:val="0"/>
          <w:i w:val="0"/>
          <w:color w:val="0B1727"/>
          <w:sz w:val="20"/>
        </w:rPr>
        <w:t>State-incentive eligibility and application timing</w:t>
      </w:r>
    </w:p>
    <w:p>
      <w:pPr>
        <w:pStyle w:val="ListBullet"/>
        <w:spacing w:after="60" w:line="259" w:lineRule="auto"/>
        <w:ind w:left="403" w:hanging="259"/>
      </w:pPr>
      <w:r>
        <w:rPr>
          <w:rFonts w:ascii="Aptos" w:hAnsi="Aptos"/>
          <w:b w:val="0"/>
          <w:i w:val="0"/>
          <w:color w:val="0B1727"/>
          <w:sz w:val="20"/>
        </w:rPr>
        <w:t>Pollution-control classification</w:t>
      </w:r>
    </w:p>
    <w:p>
      <w:pPr>
        <w:pStyle w:val="ListBullet"/>
        <w:spacing w:after="60" w:line="259" w:lineRule="auto"/>
        <w:ind w:left="403" w:hanging="259"/>
      </w:pPr>
      <w:r>
        <w:rPr>
          <w:rFonts w:ascii="Aptos" w:hAnsi="Aptos"/>
          <w:b w:val="0"/>
          <w:i w:val="0"/>
          <w:color w:val="0B1727"/>
          <w:sz w:val="20"/>
        </w:rPr>
        <w:t>Power, water and market-radius feasibility</w:t>
      </w:r>
    </w:p>
    <w:p>
      <w:pPr>
        <w:pStyle w:val="Heading3"/>
      </w:pPr>
      <w:r>
        <w:t>Before construction</w:t>
      </w:r>
    </w:p>
    <w:p>
      <w:pPr>
        <w:pStyle w:val="ListBullet"/>
        <w:spacing w:after="60" w:line="259" w:lineRule="auto"/>
        <w:ind w:left="403" w:hanging="259"/>
      </w:pPr>
      <w:r>
        <w:rPr>
          <w:rFonts w:ascii="Aptos" w:hAnsi="Aptos"/>
          <w:b w:val="0"/>
          <w:i w:val="0"/>
          <w:color w:val="0B1727"/>
          <w:sz w:val="20"/>
        </w:rPr>
        <w:t>Consent to Establish, where applicable</w:t>
      </w:r>
    </w:p>
    <w:p>
      <w:pPr>
        <w:pStyle w:val="ListBullet"/>
        <w:spacing w:after="60" w:line="259" w:lineRule="auto"/>
        <w:ind w:left="403" w:hanging="259"/>
      </w:pPr>
      <w:r>
        <w:rPr>
          <w:rFonts w:ascii="Aptos" w:hAnsi="Aptos"/>
          <w:b w:val="0"/>
          <w:i w:val="0"/>
          <w:color w:val="0B1727"/>
          <w:sz w:val="20"/>
        </w:rPr>
        <w:t>Factory building-plan and local-authority approvals</w:t>
      </w:r>
    </w:p>
    <w:p>
      <w:pPr>
        <w:pStyle w:val="ListBullet"/>
        <w:spacing w:after="60" w:line="259" w:lineRule="auto"/>
        <w:ind w:left="403" w:hanging="259"/>
      </w:pPr>
      <w:r>
        <w:rPr>
          <w:rFonts w:ascii="Aptos" w:hAnsi="Aptos"/>
          <w:b w:val="0"/>
          <w:i w:val="0"/>
          <w:color w:val="0B1727"/>
          <w:sz w:val="20"/>
        </w:rPr>
        <w:t>Fire and electrical requirements</w:t>
      </w:r>
    </w:p>
    <w:p>
      <w:pPr>
        <w:pStyle w:val="ListBullet"/>
        <w:spacing w:after="60" w:line="259" w:lineRule="auto"/>
        <w:ind w:left="403" w:hanging="259"/>
      </w:pPr>
      <w:r>
        <w:rPr>
          <w:rFonts w:ascii="Aptos" w:hAnsi="Aptos"/>
          <w:b w:val="0"/>
          <w:i w:val="0"/>
          <w:color w:val="0B1727"/>
          <w:sz w:val="20"/>
        </w:rPr>
        <w:t>Boiler, pressure-equipment and other statutory design requirements, as applicable</w:t>
      </w:r>
    </w:p>
    <w:p>
      <w:pPr>
        <w:pStyle w:val="Heading3"/>
      </w:pPr>
      <w:r>
        <w:t>Before commercial operation</w:t>
      </w:r>
    </w:p>
    <w:p>
      <w:pPr>
        <w:pStyle w:val="ListBullet"/>
        <w:spacing w:after="60" w:line="259" w:lineRule="auto"/>
        <w:ind w:left="403" w:hanging="259"/>
      </w:pPr>
      <w:r>
        <w:rPr>
          <w:rFonts w:ascii="Aptos" w:hAnsi="Aptos"/>
          <w:b w:val="0"/>
          <w:i w:val="0"/>
          <w:color w:val="0B1727"/>
          <w:sz w:val="20"/>
        </w:rPr>
        <w:t>Consent to Operate, where applicable</w:t>
      </w:r>
    </w:p>
    <w:p>
      <w:pPr>
        <w:pStyle w:val="ListBullet"/>
        <w:spacing w:after="60" w:line="259" w:lineRule="auto"/>
        <w:ind w:left="403" w:hanging="259"/>
      </w:pPr>
      <w:r>
        <w:rPr>
          <w:rFonts w:ascii="Aptos" w:hAnsi="Aptos"/>
          <w:b w:val="0"/>
          <w:i w:val="0"/>
          <w:color w:val="0B1727"/>
          <w:sz w:val="20"/>
        </w:rPr>
        <w:t>Factory licence and applicable registrations</w:t>
      </w:r>
    </w:p>
    <w:p>
      <w:pPr>
        <w:pStyle w:val="ListBullet"/>
        <w:spacing w:after="60" w:line="259" w:lineRule="auto"/>
        <w:ind w:left="403" w:hanging="259"/>
      </w:pPr>
      <w:r>
        <w:rPr>
          <w:rFonts w:ascii="Aptos" w:hAnsi="Aptos"/>
          <w:b w:val="0"/>
          <w:i w:val="0"/>
          <w:color w:val="0B1727"/>
          <w:sz w:val="20"/>
        </w:rPr>
        <w:t>Equipment inspections and statutory certifications</w:t>
      </w:r>
    </w:p>
    <w:p>
      <w:pPr>
        <w:pStyle w:val="ListBullet"/>
        <w:spacing w:after="60" w:line="259" w:lineRule="auto"/>
        <w:ind w:left="403" w:hanging="259"/>
      </w:pPr>
      <w:r>
        <w:rPr>
          <w:rFonts w:ascii="Aptos" w:hAnsi="Aptos"/>
          <w:b w:val="0"/>
          <w:i w:val="0"/>
          <w:color w:val="0B1727"/>
          <w:sz w:val="20"/>
        </w:rPr>
        <w:t>Product testing and quality-control documentation</w:t>
      </w:r>
    </w:p>
    <w:p>
      <w:pPr>
        <w:pStyle w:val="ListBullet"/>
        <w:spacing w:after="60" w:line="259" w:lineRule="auto"/>
        <w:ind w:left="403" w:hanging="259"/>
      </w:pPr>
      <w:r>
        <w:rPr>
          <w:rFonts w:ascii="Aptos" w:hAnsi="Aptos"/>
          <w:b w:val="0"/>
          <w:i w:val="0"/>
          <w:color w:val="0B1727"/>
          <w:sz w:val="20"/>
        </w:rPr>
        <w:t>Conditions attached to any incentive sanction</w:t>
      </w:r>
    </w:p>
    <w:p>
      <w:pPr>
        <w:widowControl/>
      </w:pPr>
      <w:r>
        <w:rPr>
          <w:rFonts w:ascii="Aptos" w:hAnsi="Aptos"/>
          <w:b w:val="0"/>
          <w:i w:val="0"/>
          <w:color w:val="0B1727"/>
          <w:sz w:val="21"/>
        </w:rPr>
        <w:t>Expansion, fuel change, capacity increase or major process modification may require amended approvals.</w:t>
      </w:r>
    </w:p>
    <w:p>
      <w:pPr>
        <w:pStyle w:val="Heading2"/>
      </w:pPr>
      <w:r>
        <w:t>Fly-ash-based or sand-based AAC?</w:t>
      </w:r>
    </w:p>
    <w:tbl>
      <w:tblPr>
        <w:tblStyle w:val="TableGrid"/>
        <w:tblW w:type="dxa" w:w="9360"/>
        <w:jc w:val="left"/>
        <w:tblLayout w:type="fixed"/>
        <w:tblLook w:firstColumn="1" w:firstRow="1" w:lastColumn="0" w:lastRow="0" w:noHBand="0" w:noVBand="1" w:val="04A0"/>
        <w:tblInd w:w="120" w:type="dxa"/>
      </w:tblPr>
      <w:tblGrid>
        <w:gridCol w:w="2200"/>
        <w:gridCol w:w="3580"/>
        <w:gridCol w:w="3580"/>
      </w:tblGrid>
      <w:tr>
        <w:trPr>
          <w:tblHeader w:val="true"/>
        </w:trPr>
        <w:tc>
          <w:tcPr>
            <w:tcW w:type="dxa" w:w="2200"/>
            <w:shd w:fill="0B1727"/>
            <w:tcMar>
              <w:top w:w="100" w:type="dxa"/>
              <w:start w:w="120" w:type="dxa"/>
              <w:bottom w:w="100" w:type="dxa"/>
              <w:end w:w="120" w:type="dxa"/>
            </w:tcMar>
            <w:vAlign w:val="center"/>
          </w:tcPr>
          <w:p>
            <w:pPr>
              <w:spacing w:after="0"/>
            </w:pPr>
            <w:r>
              <w:rPr>
                <w:rFonts w:ascii="Aptos" w:hAnsi="Aptos"/>
                <w:b/>
                <w:i w:val="0"/>
                <w:color w:val="FFFFFF"/>
                <w:sz w:val="18"/>
              </w:rPr>
              <w:t>Consideration</w:t>
            </w:r>
          </w:p>
        </w:tc>
        <w:tc>
          <w:tcPr>
            <w:tcW w:type="dxa" w:w="3580"/>
            <w:shd w:fill="0B1727"/>
            <w:tcMar>
              <w:top w:w="100" w:type="dxa"/>
              <w:start w:w="120" w:type="dxa"/>
              <w:bottom w:w="100" w:type="dxa"/>
              <w:end w:w="120" w:type="dxa"/>
            </w:tcMar>
            <w:vAlign w:val="center"/>
          </w:tcPr>
          <w:p>
            <w:pPr>
              <w:spacing w:after="0"/>
            </w:pPr>
            <w:r>
              <w:rPr>
                <w:rFonts w:ascii="Aptos" w:hAnsi="Aptos"/>
                <w:b/>
                <w:i w:val="0"/>
                <w:color w:val="FFFFFF"/>
                <w:sz w:val="18"/>
              </w:rPr>
              <w:t>Fly-ash-based AAC</w:t>
            </w:r>
          </w:p>
        </w:tc>
        <w:tc>
          <w:tcPr>
            <w:tcW w:type="dxa" w:w="3580"/>
            <w:shd w:fill="0B1727"/>
            <w:tcMar>
              <w:top w:w="100" w:type="dxa"/>
              <w:start w:w="120" w:type="dxa"/>
              <w:bottom w:w="100" w:type="dxa"/>
              <w:end w:w="120" w:type="dxa"/>
            </w:tcMar>
            <w:vAlign w:val="center"/>
          </w:tcPr>
          <w:p>
            <w:pPr>
              <w:spacing w:after="0"/>
            </w:pPr>
            <w:r>
              <w:rPr>
                <w:rFonts w:ascii="Aptos" w:hAnsi="Aptos"/>
                <w:b/>
                <w:i w:val="0"/>
                <w:color w:val="FFFFFF"/>
                <w:sz w:val="18"/>
              </w:rPr>
              <w:t>Sand-based AAC</w:t>
            </w:r>
          </w:p>
        </w:tc>
      </w:tr>
      <w:tr>
        <w:tc>
          <w:tcPr>
            <w:tcW w:type="dxa" w:w="2200"/>
            <w:tcMar>
              <w:top w:w="100" w:type="dxa"/>
              <w:start w:w="120" w:type="dxa"/>
              <w:bottom w:w="100" w:type="dxa"/>
              <w:end w:w="120" w:type="dxa"/>
            </w:tcMar>
            <w:vAlign w:val="center"/>
          </w:tcPr>
          <w:p>
            <w:pPr>
              <w:spacing w:after="0" w:line="252" w:lineRule="auto"/>
            </w:pPr>
            <w:r>
              <w:rPr>
                <w:rFonts w:ascii="Aptos" w:hAnsi="Aptos"/>
                <w:b w:val="0"/>
                <w:i w:val="0"/>
                <w:color w:val="0B1727"/>
                <w:sz w:val="17"/>
              </w:rPr>
              <w:t>Siliceous material</w:t>
            </w:r>
          </w:p>
        </w:tc>
        <w:tc>
          <w:tcPr>
            <w:tcW w:type="dxa" w:w="3580"/>
            <w:tcMar>
              <w:top w:w="100" w:type="dxa"/>
              <w:start w:w="120" w:type="dxa"/>
              <w:bottom w:w="100" w:type="dxa"/>
              <w:end w:w="120" w:type="dxa"/>
            </w:tcMar>
            <w:vAlign w:val="center"/>
          </w:tcPr>
          <w:p>
            <w:pPr>
              <w:spacing w:after="0" w:line="252" w:lineRule="auto"/>
            </w:pPr>
            <w:r>
              <w:rPr>
                <w:rFonts w:ascii="Aptos" w:hAnsi="Aptos"/>
                <w:b w:val="0"/>
                <w:i w:val="0"/>
                <w:color w:val="0B1727"/>
                <w:sz w:val="17"/>
              </w:rPr>
              <w:t>Suitable fly ash</w:t>
            </w:r>
          </w:p>
        </w:tc>
        <w:tc>
          <w:tcPr>
            <w:tcW w:type="dxa" w:w="3580"/>
            <w:tcMar>
              <w:top w:w="100" w:type="dxa"/>
              <w:start w:w="120" w:type="dxa"/>
              <w:bottom w:w="100" w:type="dxa"/>
              <w:end w:w="120" w:type="dxa"/>
            </w:tcMar>
            <w:vAlign w:val="center"/>
          </w:tcPr>
          <w:p>
            <w:pPr>
              <w:spacing w:after="0" w:line="252" w:lineRule="auto"/>
            </w:pPr>
            <w:r>
              <w:rPr>
                <w:rFonts w:ascii="Aptos" w:hAnsi="Aptos"/>
                <w:b w:val="0"/>
                <w:i w:val="0"/>
                <w:color w:val="0B1727"/>
                <w:sz w:val="17"/>
              </w:rPr>
              <w:t>Processed siliceous sand</w:t>
            </w:r>
          </w:p>
        </w:tc>
      </w:tr>
      <w:tr>
        <w:tc>
          <w:tcPr>
            <w:tcW w:type="dxa" w:w="2200"/>
            <w:shd w:fill="F5F7F8"/>
            <w:tcMar>
              <w:top w:w="100" w:type="dxa"/>
              <w:start w:w="120" w:type="dxa"/>
              <w:bottom w:w="100" w:type="dxa"/>
              <w:end w:w="120" w:type="dxa"/>
            </w:tcMar>
            <w:vAlign w:val="center"/>
          </w:tcPr>
          <w:p>
            <w:pPr>
              <w:spacing w:after="0" w:line="252" w:lineRule="auto"/>
            </w:pPr>
            <w:r>
              <w:rPr>
                <w:rFonts w:ascii="Aptos" w:hAnsi="Aptos"/>
                <w:b w:val="0"/>
                <w:i w:val="0"/>
                <w:color w:val="0B1727"/>
                <w:sz w:val="17"/>
              </w:rPr>
              <w:t>Policy connection</w:t>
            </w:r>
          </w:p>
        </w:tc>
        <w:tc>
          <w:tcPr>
            <w:tcW w:type="dxa" w:w="3580"/>
            <w:shd w:fill="F5F7F8"/>
            <w:tcMar>
              <w:top w:w="100" w:type="dxa"/>
              <w:start w:w="120" w:type="dxa"/>
              <w:bottom w:w="100" w:type="dxa"/>
              <w:end w:w="120" w:type="dxa"/>
            </w:tcMar>
            <w:vAlign w:val="center"/>
          </w:tcPr>
          <w:p>
            <w:pPr>
              <w:spacing w:after="0" w:line="252" w:lineRule="auto"/>
            </w:pPr>
            <w:r>
              <w:rPr>
                <w:rFonts w:ascii="Aptos" w:hAnsi="Aptos"/>
                <w:b w:val="0"/>
                <w:i w:val="0"/>
                <w:color w:val="0B1727"/>
                <w:sz w:val="17"/>
              </w:rPr>
              <w:t>Directly related to ash utilisation</w:t>
            </w:r>
          </w:p>
        </w:tc>
        <w:tc>
          <w:tcPr>
            <w:tcW w:type="dxa" w:w="3580"/>
            <w:shd w:fill="F5F7F8"/>
            <w:tcMar>
              <w:top w:w="100" w:type="dxa"/>
              <w:start w:w="120" w:type="dxa"/>
              <w:bottom w:w="100" w:type="dxa"/>
              <w:end w:w="120" w:type="dxa"/>
            </w:tcMar>
            <w:vAlign w:val="center"/>
          </w:tcPr>
          <w:p>
            <w:pPr>
              <w:spacing w:after="0" w:line="252" w:lineRule="auto"/>
            </w:pPr>
            <w:r>
              <w:rPr>
                <w:rFonts w:ascii="Aptos" w:hAnsi="Aptos"/>
                <w:b w:val="0"/>
                <w:i w:val="0"/>
                <w:color w:val="0B1727"/>
                <w:sz w:val="17"/>
              </w:rPr>
              <w:t>Less dependent on ash policy</w:t>
            </w:r>
          </w:p>
        </w:tc>
      </w:tr>
      <w:tr>
        <w:tc>
          <w:tcPr>
            <w:tcW w:type="dxa" w:w="2200"/>
            <w:tcMar>
              <w:top w:w="100" w:type="dxa"/>
              <w:start w:w="120" w:type="dxa"/>
              <w:bottom w:w="100" w:type="dxa"/>
              <w:end w:w="120" w:type="dxa"/>
            </w:tcMar>
            <w:vAlign w:val="center"/>
          </w:tcPr>
          <w:p>
            <w:pPr>
              <w:spacing w:after="0" w:line="252" w:lineRule="auto"/>
            </w:pPr>
            <w:r>
              <w:rPr>
                <w:rFonts w:ascii="Aptos" w:hAnsi="Aptos"/>
                <w:b w:val="0"/>
                <w:i w:val="0"/>
                <w:color w:val="0B1727"/>
                <w:sz w:val="17"/>
              </w:rPr>
              <w:t>Primary due diligence</w:t>
            </w:r>
          </w:p>
        </w:tc>
        <w:tc>
          <w:tcPr>
            <w:tcW w:type="dxa" w:w="3580"/>
            <w:tcMar>
              <w:top w:w="100" w:type="dxa"/>
              <w:start w:w="120" w:type="dxa"/>
              <w:bottom w:w="100" w:type="dxa"/>
              <w:end w:w="120" w:type="dxa"/>
            </w:tcMar>
            <w:vAlign w:val="center"/>
          </w:tcPr>
          <w:p>
            <w:pPr>
              <w:spacing w:after="0" w:line="252" w:lineRule="auto"/>
            </w:pPr>
            <w:r>
              <w:rPr>
                <w:rFonts w:ascii="Aptos" w:hAnsi="Aptos"/>
                <w:b w:val="0"/>
                <w:i w:val="0"/>
                <w:color w:val="0B1727"/>
                <w:sz w:val="17"/>
              </w:rPr>
              <w:t>Ash chemistry, consistency and logistics</w:t>
            </w:r>
          </w:p>
        </w:tc>
        <w:tc>
          <w:tcPr>
            <w:tcW w:type="dxa" w:w="3580"/>
            <w:tcMar>
              <w:top w:w="100" w:type="dxa"/>
              <w:start w:w="120" w:type="dxa"/>
              <w:bottom w:w="100" w:type="dxa"/>
              <w:end w:w="120" w:type="dxa"/>
            </w:tcMar>
            <w:vAlign w:val="center"/>
          </w:tcPr>
          <w:p>
            <w:pPr>
              <w:spacing w:after="0" w:line="252" w:lineRule="auto"/>
            </w:pPr>
            <w:r>
              <w:rPr>
                <w:rFonts w:ascii="Aptos" w:hAnsi="Aptos"/>
                <w:b w:val="0"/>
                <w:i w:val="0"/>
                <w:color w:val="0B1727"/>
                <w:sz w:val="17"/>
              </w:rPr>
              <w:t>Sand source, quality and permissions</w:t>
            </w:r>
          </w:p>
        </w:tc>
      </w:tr>
      <w:tr>
        <w:tc>
          <w:tcPr>
            <w:tcW w:type="dxa" w:w="2200"/>
            <w:shd w:fill="F5F7F8"/>
            <w:tcMar>
              <w:top w:w="100" w:type="dxa"/>
              <w:start w:w="120" w:type="dxa"/>
              <w:bottom w:w="100" w:type="dxa"/>
              <w:end w:w="120" w:type="dxa"/>
            </w:tcMar>
            <w:vAlign w:val="center"/>
          </w:tcPr>
          <w:p>
            <w:pPr>
              <w:spacing w:after="0" w:line="252" w:lineRule="auto"/>
            </w:pPr>
            <w:r>
              <w:rPr>
                <w:rFonts w:ascii="Aptos" w:hAnsi="Aptos"/>
                <w:b w:val="0"/>
                <w:i w:val="0"/>
                <w:color w:val="0B1727"/>
                <w:sz w:val="17"/>
              </w:rPr>
              <w:t>Commercial risk</w:t>
            </w:r>
          </w:p>
        </w:tc>
        <w:tc>
          <w:tcPr>
            <w:tcW w:type="dxa" w:w="3580"/>
            <w:shd w:fill="F5F7F8"/>
            <w:tcMar>
              <w:top w:w="100" w:type="dxa"/>
              <w:start w:w="120" w:type="dxa"/>
              <w:bottom w:w="100" w:type="dxa"/>
              <w:end w:w="120" w:type="dxa"/>
            </w:tcMar>
            <w:vAlign w:val="center"/>
          </w:tcPr>
          <w:p>
            <w:pPr>
              <w:spacing w:after="0" w:line="252" w:lineRule="auto"/>
            </w:pPr>
            <w:r>
              <w:rPr>
                <w:rFonts w:ascii="Aptos" w:hAnsi="Aptos"/>
                <w:b w:val="0"/>
                <w:i w:val="0"/>
                <w:color w:val="0B1727"/>
                <w:sz w:val="17"/>
              </w:rPr>
              <w:t>Allocation and transport conditions</w:t>
            </w:r>
          </w:p>
        </w:tc>
        <w:tc>
          <w:tcPr>
            <w:tcW w:type="dxa" w:w="3580"/>
            <w:shd w:fill="F5F7F8"/>
            <w:tcMar>
              <w:top w:w="100" w:type="dxa"/>
              <w:start w:w="120" w:type="dxa"/>
              <w:bottom w:w="100" w:type="dxa"/>
              <w:end w:w="120" w:type="dxa"/>
            </w:tcMar>
            <w:vAlign w:val="center"/>
          </w:tcPr>
          <w:p>
            <w:pPr>
              <w:spacing w:after="0" w:line="252" w:lineRule="auto"/>
            </w:pPr>
            <w:r>
              <w:rPr>
                <w:rFonts w:ascii="Aptos" w:hAnsi="Aptos"/>
                <w:b w:val="0"/>
                <w:i w:val="0"/>
                <w:color w:val="0B1727"/>
                <w:sz w:val="17"/>
              </w:rPr>
              <w:t>Mineral sourcing and preparation cost</w:t>
            </w:r>
          </w:p>
        </w:tc>
      </w:tr>
      <w:tr>
        <w:tc>
          <w:tcPr>
            <w:tcW w:type="dxa" w:w="2200"/>
            <w:tcMar>
              <w:top w:w="100" w:type="dxa"/>
              <w:start w:w="120" w:type="dxa"/>
              <w:bottom w:w="100" w:type="dxa"/>
              <w:end w:w="120" w:type="dxa"/>
            </w:tcMar>
            <w:vAlign w:val="center"/>
          </w:tcPr>
          <w:p>
            <w:pPr>
              <w:spacing w:after="0" w:line="252" w:lineRule="auto"/>
            </w:pPr>
            <w:r>
              <w:rPr>
                <w:rFonts w:ascii="Aptos" w:hAnsi="Aptos"/>
                <w:b w:val="0"/>
                <w:i w:val="0"/>
                <w:color w:val="0B1727"/>
                <w:sz w:val="17"/>
              </w:rPr>
              <w:t>Plant-engineering effect</w:t>
            </w:r>
          </w:p>
        </w:tc>
        <w:tc>
          <w:tcPr>
            <w:tcW w:type="dxa" w:w="3580"/>
            <w:tcMar>
              <w:top w:w="100" w:type="dxa"/>
              <w:start w:w="120" w:type="dxa"/>
              <w:bottom w:w="100" w:type="dxa"/>
              <w:end w:w="120" w:type="dxa"/>
            </w:tcMar>
            <w:vAlign w:val="center"/>
          </w:tcPr>
          <w:p>
            <w:pPr>
              <w:spacing w:after="0" w:line="252" w:lineRule="auto"/>
            </w:pPr>
            <w:r>
              <w:rPr>
                <w:rFonts w:ascii="Aptos" w:hAnsi="Aptos"/>
                <w:b w:val="0"/>
                <w:i w:val="0"/>
                <w:color w:val="0B1727"/>
                <w:sz w:val="17"/>
              </w:rPr>
              <w:t>Ash receiving, storage and slurry preparation</w:t>
            </w:r>
          </w:p>
        </w:tc>
        <w:tc>
          <w:tcPr>
            <w:tcW w:type="dxa" w:w="3580"/>
            <w:tcMar>
              <w:top w:w="100" w:type="dxa"/>
              <w:start w:w="120" w:type="dxa"/>
              <w:bottom w:w="100" w:type="dxa"/>
              <w:end w:w="120" w:type="dxa"/>
            </w:tcMar>
            <w:vAlign w:val="center"/>
          </w:tcPr>
          <w:p>
            <w:pPr>
              <w:spacing w:after="0" w:line="252" w:lineRule="auto"/>
            </w:pPr>
            <w:r>
              <w:rPr>
                <w:rFonts w:ascii="Aptos" w:hAnsi="Aptos"/>
                <w:b w:val="0"/>
                <w:i w:val="0"/>
                <w:color w:val="0B1727"/>
                <w:sz w:val="17"/>
              </w:rPr>
              <w:t>Sand washing/grinding and slurry preparation</w:t>
            </w:r>
          </w:p>
        </w:tc>
      </w:tr>
    </w:tbl>
    <w:p>
      <w:pPr>
        <w:spacing w:after="20"/>
      </w:pPr>
    </w:p>
    <w:p>
      <w:pPr>
        <w:widowControl/>
      </w:pPr>
      <w:r>
        <w:rPr>
          <w:rFonts w:ascii="Aptos" w:hAnsi="Aptos"/>
          <w:b w:val="0"/>
          <w:i w:val="0"/>
          <w:color w:val="0B1727"/>
          <w:sz w:val="21"/>
        </w:rPr>
        <w:t>Neither route is universally better. The correct choice depends on verified quality, delivered cost, long-term availability, product requirements and location.</w:t>
      </w:r>
    </w:p>
    <w:p>
      <w:pPr>
        <w:pStyle w:val="Heading2"/>
      </w:pPr>
      <w:r>
        <w:t>Seven checks before including an incentive in the DPR</w:t>
      </w:r>
    </w:p>
    <w:p>
      <w:pPr>
        <w:pStyle w:val="ListNumber"/>
        <w:spacing w:after="80"/>
        <w:ind w:left="461" w:hanging="288"/>
      </w:pPr>
      <w:r>
        <w:rPr>
          <w:rFonts w:ascii="Aptos" w:hAnsi="Aptos"/>
          <w:b w:val="0"/>
          <w:i w:val="0"/>
          <w:color w:val="0B1727"/>
          <w:sz w:val="20"/>
        </w:rPr>
        <w:t>The exact policy and notification</w:t>
      </w:r>
    </w:p>
    <w:p>
      <w:pPr>
        <w:pStyle w:val="ListNumber"/>
        <w:spacing w:after="80"/>
        <w:ind w:left="461" w:hanging="288"/>
      </w:pPr>
      <w:r>
        <w:rPr>
          <w:rFonts w:ascii="Aptos" w:hAnsi="Aptos"/>
          <w:b w:val="0"/>
          <w:i w:val="0"/>
          <w:color w:val="0B1727"/>
          <w:sz w:val="20"/>
        </w:rPr>
        <w:t>Its effective and expiry dates</w:t>
      </w:r>
    </w:p>
    <w:p>
      <w:pPr>
        <w:pStyle w:val="ListNumber"/>
        <w:spacing w:after="80"/>
        <w:ind w:left="461" w:hanging="288"/>
      </w:pPr>
      <w:r>
        <w:rPr>
          <w:rFonts w:ascii="Aptos" w:hAnsi="Aptos"/>
          <w:b w:val="0"/>
          <w:i w:val="0"/>
          <w:color w:val="0B1727"/>
          <w:sz w:val="20"/>
        </w:rPr>
        <w:t>The implementing authority</w:t>
      </w:r>
    </w:p>
    <w:p>
      <w:pPr>
        <w:pStyle w:val="ListNumber"/>
        <w:spacing w:after="80"/>
        <w:ind w:left="461" w:hanging="288"/>
      </w:pPr>
      <w:r>
        <w:rPr>
          <w:rFonts w:ascii="Aptos" w:hAnsi="Aptos"/>
          <w:b w:val="0"/>
          <w:i w:val="0"/>
          <w:color w:val="0B1727"/>
          <w:sz w:val="20"/>
        </w:rPr>
        <w:t>Enterprise and sector eligibility</w:t>
      </w:r>
    </w:p>
    <w:p>
      <w:pPr>
        <w:pStyle w:val="ListNumber"/>
        <w:spacing w:after="80"/>
        <w:ind w:left="461" w:hanging="288"/>
      </w:pPr>
      <w:r>
        <w:rPr>
          <w:rFonts w:ascii="Aptos" w:hAnsi="Aptos"/>
          <w:b w:val="0"/>
          <w:i w:val="0"/>
          <w:color w:val="0B1727"/>
          <w:sz w:val="20"/>
        </w:rPr>
        <w:t>Eligible project expenditure</w:t>
      </w:r>
    </w:p>
    <w:p>
      <w:pPr>
        <w:pStyle w:val="ListNumber"/>
        <w:spacing w:after="80"/>
        <w:ind w:left="461" w:hanging="288"/>
      </w:pPr>
      <w:r>
        <w:rPr>
          <w:rFonts w:ascii="Aptos" w:hAnsi="Aptos"/>
          <w:b w:val="0"/>
          <w:i w:val="0"/>
          <w:color w:val="0B1727"/>
          <w:sz w:val="20"/>
        </w:rPr>
        <w:t>The required application sequence</w:t>
      </w:r>
    </w:p>
    <w:p>
      <w:pPr>
        <w:pStyle w:val="ListNumber"/>
        <w:spacing w:after="80"/>
        <w:ind w:left="461" w:hanging="288"/>
      </w:pPr>
      <w:r>
        <w:rPr>
          <w:rFonts w:ascii="Aptos" w:hAnsi="Aptos"/>
          <w:b w:val="0"/>
          <w:i w:val="0"/>
          <w:color w:val="0B1727"/>
          <w:sz w:val="20"/>
        </w:rPr>
        <w:t>Sanction, reimbursement and continuing-compliance conditions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EEF2F5"/>
          </w:tcPr>
          <w:p>
            <w:pPr>
              <w:spacing w:after="60"/>
            </w:pPr>
            <w:r>
              <w:rPr>
                <w:rFonts w:ascii="Aptos" w:hAnsi="Aptos"/>
                <w:b/>
                <w:i w:val="0"/>
                <w:color w:val="0C4F80"/>
                <w:sz w:val="17"/>
              </w:rPr>
              <w:t xml:space="preserve">FINANCIAL DISCIPLINE  </w:t>
            </w:r>
            <w:r>
              <w:rPr>
                <w:rFonts w:ascii="Aptos" w:hAnsi="Aptos"/>
                <w:b/>
                <w:i w:val="0"/>
                <w:color w:val="0B1727"/>
                <w:sz w:val="21"/>
              </w:rPr>
              <w:t>Until these points are verified, show the benefit separately as a potential incentive—not confirmed project income.</w:t>
            </w:r>
          </w:p>
        </w:tc>
      </w:tr>
    </w:tbl>
    <w:p>
      <w:pPr>
        <w:spacing w:after="20"/>
      </w:pPr>
    </w:p>
    <w:p>
      <w:pPr>
        <w:pStyle w:val="Eyebrow"/>
      </w:pPr>
      <w:r>
        <w:t>03  /  PLAN</w:t>
      </w:r>
    </w:p>
    <w:p>
      <w:pPr>
        <w:pStyle w:val="Heading1"/>
      </w:pPr>
      <w:r>
        <w:t>Plan the project around verified conditions.</w:t>
      </w:r>
    </w:p>
    <w:p>
      <w:pPr>
        <w:pStyle w:val="Heading2"/>
      </w:pPr>
      <w:r>
        <w:t>Common mistakes made by new investors</w:t>
      </w:r>
    </w:p>
    <w:p>
      <w:pPr>
        <w:widowControl/>
      </w:pPr>
      <w:r>
        <w:rPr>
          <w:rFonts w:ascii="Aptos" w:hAnsi="Aptos"/>
          <w:b/>
          <w:i w:val="0"/>
          <w:color w:val="0B1727"/>
          <w:sz w:val="21"/>
        </w:rPr>
        <w:t>Assuming an AAC-specific subsidy exists nationwide.</w:t>
      </w:r>
      <w:r>
        <w:rPr>
          <w:rFonts w:ascii="Aptos" w:hAnsi="Aptos"/>
          <w:b w:val="0"/>
          <w:i w:val="0"/>
          <w:color w:val="0B1727"/>
          <w:sz w:val="21"/>
        </w:rPr>
        <w:t xml:space="preserve"> Most relevant benefits arise from general state industrial, MSME, quality or technology schemes.</w:t>
      </w:r>
    </w:p>
    <w:p>
      <w:pPr>
        <w:widowControl/>
      </w:pPr>
      <w:r>
        <w:rPr>
          <w:rFonts w:ascii="Aptos" w:hAnsi="Aptos"/>
          <w:b/>
          <w:i w:val="0"/>
          <w:color w:val="0B1727"/>
          <w:sz w:val="21"/>
        </w:rPr>
        <w:t>Buying machinery before checking incentive conditions.</w:t>
      </w:r>
      <w:r>
        <w:rPr>
          <w:rFonts w:ascii="Aptos" w:hAnsi="Aptos"/>
          <w:b w:val="0"/>
          <w:i w:val="0"/>
          <w:color w:val="0B1727"/>
          <w:sz w:val="21"/>
        </w:rPr>
        <w:t xml:space="preserve"> Some schemes may require registration or approval before orders are placed or production begins.</w:t>
      </w:r>
    </w:p>
    <w:p>
      <w:pPr>
        <w:widowControl/>
      </w:pPr>
      <w:r>
        <w:rPr>
          <w:rFonts w:ascii="Aptos" w:hAnsi="Aptos"/>
          <w:b/>
          <w:i w:val="0"/>
          <w:color w:val="0B1727"/>
          <w:sz w:val="21"/>
        </w:rPr>
        <w:t>Treating fly ash as a free raw material.</w:t>
      </w:r>
      <w:r>
        <w:rPr>
          <w:rFonts w:ascii="Aptos" w:hAnsi="Aptos"/>
          <w:b w:val="0"/>
          <w:i w:val="0"/>
          <w:color w:val="0B1727"/>
          <w:sz w:val="21"/>
        </w:rPr>
        <w:t xml:space="preserve"> Loading, conditioning, transport, variation and rejected-material handling can affect delivered cost.</w:t>
      </w:r>
    </w:p>
    <w:p>
      <w:pPr>
        <w:widowControl/>
      </w:pPr>
      <w:r>
        <w:rPr>
          <w:rFonts w:ascii="Aptos" w:hAnsi="Aptos"/>
          <w:b/>
          <w:i w:val="0"/>
          <w:color w:val="0B1727"/>
          <w:sz w:val="21"/>
        </w:rPr>
        <w:t>Selecting a state only for its headline incentive.</w:t>
      </w:r>
      <w:r>
        <w:rPr>
          <w:rFonts w:ascii="Aptos" w:hAnsi="Aptos"/>
          <w:b w:val="0"/>
          <w:i w:val="0"/>
          <w:color w:val="0B1727"/>
          <w:sz w:val="21"/>
        </w:rPr>
        <w:t xml:space="preserve"> Market, raw material, logistics, power, water and implementation capability may matter more.</w:t>
      </w:r>
    </w:p>
    <w:p>
      <w:pPr>
        <w:widowControl/>
      </w:pPr>
      <w:r>
        <w:rPr>
          <w:rFonts w:ascii="Aptos" w:hAnsi="Aptos"/>
          <w:b/>
          <w:i w:val="0"/>
          <w:color w:val="0B1727"/>
          <w:sz w:val="21"/>
        </w:rPr>
        <w:t>Confusing product compliance with plant approval.</w:t>
      </w:r>
      <w:r>
        <w:rPr>
          <w:rFonts w:ascii="Aptos" w:hAnsi="Aptos"/>
          <w:b w:val="0"/>
          <w:i w:val="0"/>
          <w:color w:val="0B1727"/>
          <w:sz w:val="21"/>
        </w:rPr>
        <w:t xml:space="preserve"> A product standard does not replace pollution, factory, fire, electrical or equipment approvals.</w:t>
      </w:r>
    </w:p>
    <w:p>
      <w:pPr>
        <w:widowControl/>
      </w:pPr>
      <w:r>
        <w:rPr>
          <w:rFonts w:ascii="Aptos" w:hAnsi="Aptos"/>
          <w:b/>
          <w:i w:val="0"/>
          <w:color w:val="0B1727"/>
          <w:sz w:val="21"/>
        </w:rPr>
        <w:t>Designing the plant before confirming approval conditions.</w:t>
      </w:r>
      <w:r>
        <w:rPr>
          <w:rFonts w:ascii="Aptos" w:hAnsi="Aptos"/>
          <w:b w:val="0"/>
          <w:i w:val="0"/>
          <w:color w:val="0B1727"/>
          <w:sz w:val="21"/>
        </w:rPr>
        <w:t xml:space="preserve"> Dust control, water management, storage, drainage, traffic and green-belt requirements can affect layout and cost.</w:t>
      </w:r>
    </w:p>
    <w:p>
      <w:pPr>
        <w:pStyle w:val="Heading2"/>
      </w:pPr>
      <w:r>
        <w:t>How Laxmi En-Fab supports project planning</w:t>
      </w:r>
    </w:p>
    <w:p>
      <w:pPr>
        <w:widowControl/>
      </w:pPr>
      <w:r>
        <w:rPr>
          <w:rFonts w:ascii="Aptos" w:hAnsi="Aptos"/>
          <w:b w:val="0"/>
          <w:i w:val="0"/>
          <w:color w:val="0B1727"/>
          <w:sz w:val="21"/>
        </w:rPr>
        <w:t>Laxmi En-Fab Pvt. Ltd. provides AAC plant engineering inputs that can support discussions with an investor’s appointed statutory, environmental and industrial-policy advisers.</w:t>
      </w:r>
    </w:p>
    <w:p>
      <w:pPr>
        <w:pStyle w:val="ListBullet"/>
        <w:spacing w:after="60" w:line="259" w:lineRule="auto"/>
        <w:ind w:left="403" w:hanging="259"/>
      </w:pPr>
      <w:r>
        <w:rPr>
          <w:rFonts w:ascii="Aptos" w:hAnsi="Aptos"/>
          <w:b w:val="0"/>
          <w:i w:val="0"/>
          <w:color w:val="0B1727"/>
          <w:sz w:val="20"/>
        </w:rPr>
        <w:t>Proposed capacity and raw-material route</w:t>
      </w:r>
    </w:p>
    <w:p>
      <w:pPr>
        <w:pStyle w:val="ListBullet"/>
        <w:spacing w:after="60" w:line="259" w:lineRule="auto"/>
        <w:ind w:left="403" w:hanging="259"/>
      </w:pPr>
      <w:r>
        <w:rPr>
          <w:rFonts w:ascii="Aptos" w:hAnsi="Aptos"/>
          <w:b w:val="0"/>
          <w:i w:val="0"/>
          <w:color w:val="0B1727"/>
          <w:sz w:val="20"/>
        </w:rPr>
        <w:t>Raw-material preparation and machinery configuration</w:t>
      </w:r>
    </w:p>
    <w:p>
      <w:pPr>
        <w:pStyle w:val="ListBullet"/>
        <w:spacing w:after="60" w:line="259" w:lineRule="auto"/>
        <w:ind w:left="403" w:hanging="259"/>
      </w:pPr>
      <w:r>
        <w:rPr>
          <w:rFonts w:ascii="Aptos" w:hAnsi="Aptos"/>
          <w:b w:val="0"/>
          <w:i w:val="0"/>
          <w:color w:val="0B1727"/>
          <w:sz w:val="20"/>
        </w:rPr>
        <w:t>Autoclave, steam and utility planning</w:t>
      </w:r>
    </w:p>
    <w:p>
      <w:pPr>
        <w:pStyle w:val="ListBullet"/>
        <w:spacing w:after="60" w:line="259" w:lineRule="auto"/>
        <w:ind w:left="403" w:hanging="259"/>
      </w:pPr>
      <w:r>
        <w:rPr>
          <w:rFonts w:ascii="Aptos" w:hAnsi="Aptos"/>
          <w:b w:val="0"/>
          <w:i w:val="0"/>
          <w:color w:val="0B1727"/>
          <w:sz w:val="20"/>
        </w:rPr>
        <w:t>Storage, material movement and laboratory provisions</w:t>
      </w:r>
    </w:p>
    <w:p>
      <w:pPr>
        <w:pStyle w:val="ListBullet"/>
        <w:spacing w:after="60" w:line="259" w:lineRule="auto"/>
        <w:ind w:left="403" w:hanging="259"/>
      </w:pPr>
      <w:r>
        <w:rPr>
          <w:rFonts w:ascii="Aptos" w:hAnsi="Aptos"/>
          <w:b w:val="0"/>
          <w:i w:val="0"/>
          <w:color w:val="0B1727"/>
          <w:sz w:val="20"/>
        </w:rPr>
        <w:t>Future expansion and technical information for DPR discussions</w:t>
      </w:r>
    </w:p>
    <w:p>
      <w:pPr>
        <w:widowControl/>
      </w:pPr>
      <w:r>
        <w:rPr>
          <w:rFonts w:ascii="Aptos" w:hAnsi="Aptos"/>
          <w:b w:val="0"/>
          <w:i w:val="0"/>
          <w:color w:val="0B1727"/>
          <w:sz w:val="21"/>
        </w:rPr>
        <w:t>Laxmi En-Fab does not determine legal eligibility, sanction subsidies or replace the competent authority. Final policy, incentive and approval decisions remain subject to the relevant government department and the investor’s qualified advisers.</w:t>
      </w:r>
    </w:p>
    <w:p>
      <w:pPr>
        <w:pStyle w:val="Heading2"/>
      </w:pPr>
      <w:r>
        <w:t>Frequently asked questions</w:t>
      </w:r>
    </w:p>
    <w:p>
      <w:pPr>
        <w:pStyle w:val="Heading3"/>
      </w:pPr>
      <w:r>
        <w:t>Is there a Central Government subsidy specifically for AAC plants?</w:t>
      </w:r>
    </w:p>
    <w:p>
      <w:pPr>
        <w:widowControl/>
      </w:pPr>
      <w:r>
        <w:rPr>
          <w:rFonts w:ascii="Aptos" w:hAnsi="Aptos"/>
          <w:b w:val="0"/>
          <w:i w:val="0"/>
          <w:color w:val="0B1727"/>
          <w:sz w:val="21"/>
        </w:rPr>
        <w:t>No nationwide AAC-specific subsidy should be assumed. Eligibility may arise under applicable manufacturing, MSME, technology, quality or state schemes.</w:t>
      </w:r>
    </w:p>
    <w:p>
      <w:pPr>
        <w:pStyle w:val="Heading3"/>
      </w:pPr>
      <w:r>
        <w:t>Does the government provide free fly ash?</w:t>
      </w:r>
    </w:p>
    <w:p>
      <w:pPr>
        <w:widowControl/>
      </w:pPr>
      <w:r>
        <w:rPr>
          <w:rFonts w:ascii="Aptos" w:hAnsi="Aptos"/>
          <w:b w:val="0"/>
          <w:i w:val="0"/>
          <w:color w:val="0B1727"/>
          <w:sz w:val="21"/>
        </w:rPr>
        <w:t>The policy supports ash utilisation but does not automatically guarantee free ash, a fixed price or free transport. Terms must be confirmed with the supplying thermal power plant.</w:t>
      </w:r>
    </w:p>
    <w:p>
      <w:pPr>
        <w:pStyle w:val="Heading3"/>
      </w:pPr>
      <w:r>
        <w:t>Does PMAY require AAC blocks?</w:t>
      </w:r>
    </w:p>
    <w:p>
      <w:pPr>
        <w:widowControl/>
      </w:pPr>
      <w:r>
        <w:rPr>
          <w:rFonts w:ascii="Aptos" w:hAnsi="Aptos"/>
          <w:b w:val="0"/>
          <w:i w:val="0"/>
          <w:color w:val="0B1727"/>
          <w:sz w:val="21"/>
        </w:rPr>
        <w:t>AAC has been used among several sustainable materials in PMAY-U projects. Available official evidence does not establish a universal AAC mandate.</w:t>
      </w:r>
    </w:p>
    <w:p>
      <w:pPr>
        <w:pStyle w:val="Heading3"/>
      </w:pPr>
      <w:r>
        <w:t>Is BIS certification compulsory?</w:t>
      </w:r>
    </w:p>
    <w:p>
      <w:pPr>
        <w:widowControl/>
      </w:pPr>
      <w:r>
        <w:rPr>
          <w:rFonts w:ascii="Aptos" w:hAnsi="Aptos"/>
          <w:b w:val="0"/>
          <w:i w:val="0"/>
          <w:color w:val="0B1727"/>
          <w:sz w:val="21"/>
        </w:rPr>
        <w:t>BIS identifies IS 2185 (Part 3):1984 and currently describes certification as voluntary. A tender, customer or current regulatory order may still require certification or testing.</w:t>
      </w:r>
    </w:p>
    <w:p>
      <w:pPr>
        <w:pStyle w:val="Heading3"/>
      </w:pPr>
      <w:r>
        <w:t>Which state offers the best incentive?</w:t>
      </w:r>
    </w:p>
    <w:p>
      <w:pPr>
        <w:widowControl/>
      </w:pPr>
      <w:r>
        <w:rPr>
          <w:rFonts w:ascii="Aptos" w:hAnsi="Aptos"/>
          <w:b w:val="0"/>
          <w:i w:val="0"/>
          <w:color w:val="0B1727"/>
          <w:sz w:val="21"/>
        </w:rPr>
        <w:t>There is no universally best state. Incentive value must be considered with raw material, market, logistics, utilities, land and eligibility conditions.</w:t>
      </w:r>
    </w:p>
    <w:p>
      <w:pPr>
        <w:pStyle w:val="Heading3"/>
      </w:pPr>
      <w:r>
        <w:t>Should incentives be included in ROI?</w:t>
      </w:r>
    </w:p>
    <w:p>
      <w:pPr>
        <w:widowControl/>
      </w:pPr>
      <w:r>
        <w:rPr>
          <w:rFonts w:ascii="Aptos" w:hAnsi="Aptos"/>
          <w:b w:val="0"/>
          <w:i w:val="0"/>
          <w:color w:val="0B1727"/>
          <w:sz w:val="21"/>
        </w:rPr>
        <w:t>Only after eligibility and reimbursement conditions are confirmed. Until then, show incentives separately as potential upside.</w:t>
      </w:r>
    </w:p>
    <w:tbl>
      <w:tblPr>
        <w:tblW w:type="dxa" w:w="9360"/>
        <w:jc w:val="left"/>
        <w:tblLayout w:type="fixed"/>
        <w:tblLook w:firstColumn="1" w:firstRow="1" w:lastColumn="0" w:lastRow="0" w:noHBand="0" w:noVBand="1" w:val="04A0"/>
        <w:tblInd w:w="120" w:type="dxa"/>
      </w:tblPr>
      <w:tblGrid>
        <w:gridCol w:w="9360"/>
      </w:tblGrid>
      <w:tr>
        <w:tc>
          <w:tcPr>
            <w:tcW w:type="dxa" w:w="9360"/>
            <w:tcMar>
              <w:top w:w="150" w:type="dxa"/>
              <w:start w:w="180" w:type="dxa"/>
              <w:bottom w:w="150" w:type="dxa"/>
              <w:end w:w="180" w:type="dxa"/>
            </w:tcMar>
            <w:vAlign w:val="center"/>
            <w:shd w:fill="EEF2F5"/>
          </w:tcPr>
          <w:p>
            <w:pPr>
              <w:spacing w:after="60"/>
            </w:pPr>
            <w:r>
              <w:rPr>
                <w:rFonts w:ascii="Aptos" w:hAnsi="Aptos"/>
                <w:b/>
                <w:i w:val="0"/>
                <w:color w:val="0C4F80"/>
                <w:sz w:val="17"/>
              </w:rPr>
              <w:t xml:space="preserve">NEXT STEP  </w:t>
            </w:r>
            <w:r>
              <w:rPr>
                <w:rFonts w:ascii="Aptos" w:hAnsi="Aptos"/>
                <w:b/>
                <w:i w:val="0"/>
                <w:color w:val="0B1727"/>
                <w:sz w:val="21"/>
              </w:rPr>
              <w:t>Share your proposed location, capacity, raw-material route and project stage. Laxmi En-Fab can help organise the engineering inputs required for an informed project discussion.</w:t>
            </w:r>
          </w:p>
        </w:tc>
      </w:tr>
    </w:tbl>
    <w:p>
      <w:pPr>
        <w:spacing w:after="20"/>
      </w:pPr>
    </w:p>
    <w:p>
      <w:pPr>
        <w:pStyle w:val="Heading2"/>
      </w:pPr>
      <w:r>
        <w:t>Official references</w:t>
      </w:r>
    </w:p>
    <w:p>
      <w:pPr>
        <w:pStyle w:val="ListBullet"/>
        <w:spacing w:after="60" w:line="259" w:lineRule="auto"/>
        <w:ind w:left="403" w:hanging="259"/>
      </w:pPr>
      <w:r>
        <w:rPr>
          <w:rFonts w:ascii="Aptos" w:hAnsi="Aptos"/>
          <w:b w:val="0"/>
          <w:i w:val="0"/>
          <w:color w:val="0B1727"/>
          <w:sz w:val="20"/>
        </w:rPr>
        <w:t>Ministry of Environment, Forest and Climate Change — Ash Utilisation Notification, 2021 (S.O. 5481(E), 31 December 2021)</w:t>
      </w:r>
    </w:p>
    <w:p>
      <w:pPr>
        <w:pStyle w:val="ListBullet"/>
        <w:spacing w:after="60" w:line="259" w:lineRule="auto"/>
        <w:ind w:left="403" w:hanging="259"/>
      </w:pPr>
      <w:r>
        <w:rPr>
          <w:rFonts w:ascii="Aptos" w:hAnsi="Aptos"/>
          <w:b w:val="0"/>
          <w:i w:val="0"/>
          <w:color w:val="0B1727"/>
          <w:sz w:val="20"/>
        </w:rPr>
        <w:t>Bureau of Indian Standards — IS 2185 (Part 3):1984 standard record</w:t>
      </w:r>
    </w:p>
    <w:p>
      <w:pPr>
        <w:pStyle w:val="ListBullet"/>
        <w:spacing w:after="60" w:line="259" w:lineRule="auto"/>
        <w:ind w:left="403" w:hanging="259"/>
      </w:pPr>
      <w:r>
        <w:rPr>
          <w:rFonts w:ascii="Aptos" w:hAnsi="Aptos"/>
          <w:b w:val="0"/>
          <w:i w:val="0"/>
          <w:color w:val="0B1727"/>
          <w:sz w:val="20"/>
        </w:rPr>
        <w:t>Ministry of Housing and Urban Affairs / PIB — sustainable construction materials used in PMAY-U</w:t>
      </w:r>
    </w:p>
    <w:p>
      <w:pPr>
        <w:pStyle w:val="ListBullet"/>
        <w:spacing w:after="60" w:line="259" w:lineRule="auto"/>
        <w:ind w:left="403" w:hanging="259"/>
      </w:pPr>
      <w:r>
        <w:rPr>
          <w:rFonts w:ascii="Aptos" w:hAnsi="Aptos"/>
          <w:b w:val="0"/>
          <w:i w:val="0"/>
          <w:color w:val="0B1727"/>
          <w:sz w:val="20"/>
        </w:rPr>
        <w:t>Applicable State Pollution Control Board and state industries/MSME department</w:t>
      </w:r>
    </w:p>
    <w:p>
      <w:pPr>
        <w:pStyle w:val="ListBullet"/>
        <w:spacing w:after="60" w:line="259" w:lineRule="auto"/>
        <w:ind w:left="403" w:hanging="259"/>
      </w:pPr>
      <w:r>
        <w:rPr>
          <w:rFonts w:ascii="Aptos" w:hAnsi="Aptos"/>
          <w:b w:val="0"/>
          <w:i w:val="0"/>
          <w:color w:val="0B1727"/>
          <w:sz w:val="20"/>
        </w:rPr>
        <w:t>GRIHA product and documentation guidance</w:t>
      </w:r>
    </w:p>
    <w:p>
      <w:pPr>
        <w:widowControl/>
      </w:pPr>
      <w:r>
        <w:rPr>
          <w:rFonts w:ascii="Aptos" w:hAnsi="Aptos"/>
          <w:b w:val="0"/>
          <w:i/>
          <w:color w:val="0B1727"/>
          <w:sz w:val="21"/>
        </w:rPr>
        <w:t>Important: Government policies, schemes, standards and approval requirements can change. Investors should verify current applicability with the relevant authorities before making financial or legal commitments.</w:t>
      </w:r>
    </w:p>
    <w:tbl>
      <w:tblPr>
        <w:tblW w:type="dxa" w:w="6000"/>
        <w:jc w:val="center"/>
        <w:tblLayout w:type="fixed"/>
        <w:tblLook w:firstColumn="1" w:firstRow="1" w:lastColumn="0" w:lastRow="0" w:noHBand="0" w:noVBand="1" w:val="04A0"/>
        <w:tblInd w:w="120" w:type="dxa"/>
      </w:tblPr>
      <w:tblGrid>
        <w:gridCol w:w="6000"/>
      </w:tblGrid>
      <w:tr>
        <w:tc>
          <w:tcPr>
            <w:tcW w:type="dxa" w:w="6000"/>
            <w:tcMar>
              <w:top w:w="100" w:type="dxa"/>
              <w:start w:w="120" w:type="dxa"/>
              <w:bottom w:w="100" w:type="dxa"/>
              <w:end w:w="120" w:type="dxa"/>
            </w:tcMar>
            <w:vAlign w:val="center"/>
            <w:shd w:fill="0C4F80"/>
          </w:tcPr>
          <w:p>
            <w:pPr>
              <w:spacing w:after="0"/>
              <w:jc w:val="center"/>
            </w:pPr>
            <w:r>
              <w:rPr>
                <w:rFonts w:ascii="Aptos" w:hAnsi="Aptos"/>
                <w:b/>
                <w:i w:val="0"/>
                <w:color w:val="FFFFFF"/>
                <w:sz w:val="22"/>
              </w:rPr>
              <w:t>REQUEST A POLICY-READINESS DISCUSSION</w:t>
            </w:r>
          </w:p>
        </w:tc>
      </w:tr>
    </w:tbl>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84909C"/>
        <w:sz w:val="16"/>
      </w:rPr>
      <w:t>AAC Block Government Policies in India  •  Reviewed 15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84909C"/>
        <w:sz w:val="16"/>
      </w:rPr>
      <w:t>LAXMI EN-FAB PVT. LTD.  /  INVESTOR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0B17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B1727"/>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0C4F8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926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B1727"/>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i/>
      <w:iCs/>
      <w:color w:val="5E687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200"/>
    </w:pPr>
    <w:rPr>
      <w:rFonts w:ascii="Aptos" w:hAnsi="Aptos"/>
      <w:b/>
      <w:color w:val="0C4F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Block Government Policies in India</dc:title>
  <dc:subject>Investor guide to policy, incentives, approvals and AAC plant planning</dc:subject>
  <dc:creator>Laxmi En-Fab Pvt. Ltd.</dc:creator>
  <cp:keywords>AAC block government policies India, AAC plant subsidy, fly ash policy, IS 2185 Part 3</cp:keywords>
  <dc:description>generated by python-docx</dc:description>
  <cp:lastModifiedBy/>
  <cp:revision>1</cp:revision>
  <dcterms:created xsi:type="dcterms:W3CDTF">2013-12-23T23:15:00Z</dcterms:created>
  <dcterms:modified xsi:type="dcterms:W3CDTF">2013-12-23T23:15:00Z</dcterms:modified>
  <cp:category/>
</cp:coreProperties>
</file>